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BA6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31405"/>
            <wp:effectExtent l="0" t="0" r="2540" b="17145"/>
            <wp:docPr id="2" name="图片 2" descr="商业保险第三方管理服务平台项目-杭州米加健康科技有限公司响应文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业保险第三方管理服务平台项目-杭州米加健康科技有限公司响应文件_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31405"/>
            <wp:effectExtent l="0" t="0" r="2540" b="17145"/>
            <wp:docPr id="1" name="图片 1" descr="商业保险第三方管理服务平台项目-杭州米加健康科技有限公司响应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商业保险第三方管理服务平台项目-杭州米加健康科技有限公司响应文件_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72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2026-05-08T07:41:38Z</dcterms:created>
  <dc:creator>Administrator</dc:creator>
  <cp:lastModifiedBy>焦</cp:lastModifiedBy>
  <dcterms:modified xsi:type="dcterms:W3CDTF">2026-05-08T07:41:59Z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eyJoZGlkIjoiODVhOTJkYjU2NGNhMWE3ZDA0Y2I5YjBiZTc5NjNmNTkiLCJ1c2VySWQiOiI3NTkyODgxNjMifQ==</vt:lpwstr>
  </property>
  <property fmtid="{D5CDD505-2E9C-101B-9397-08002B2CF9AE}" pid="4" name="ICV">
    <vt:lpwstr>258447EC70A142E5AB415B26BE12D0DD_12</vt:lpwstr>
  </property>
</Properties>
</file>