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28081">
      <w:pPr>
        <w:shd w:val="clear" w:color="auto" w:fill="auto"/>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val="en-US" w:eastAsia="zh-CN"/>
        </w:rPr>
        <w:t>景弘集团有限公司人事管理</w:t>
      </w:r>
    </w:p>
    <w:p w14:paraId="3ED12395">
      <w:pPr>
        <w:shd w:val="clear" w:color="auto" w:fill="auto"/>
        <w:jc w:val="center"/>
        <w:rPr>
          <w:rFonts w:hint="eastAsia" w:ascii="宋体" w:eastAsia="宋体" w:cs="宋体"/>
          <w:b/>
          <w:bCs/>
          <w:color w:val="auto"/>
          <w:kern w:val="0"/>
          <w:sz w:val="52"/>
          <w:szCs w:val="52"/>
          <w:highlight w:val="none"/>
          <w:lang w:val="en-US" w:eastAsia="zh-CN"/>
        </w:rPr>
      </w:pPr>
      <w:r>
        <w:rPr>
          <w:rFonts w:hint="eastAsia" w:ascii="宋体" w:hAnsi="宋体" w:cs="宋体"/>
          <w:b/>
          <w:bCs/>
          <w:color w:val="auto"/>
          <w:kern w:val="0"/>
          <w:sz w:val="72"/>
          <w:szCs w:val="72"/>
          <w:highlight w:val="none"/>
          <w:lang w:val="en-US" w:eastAsia="zh-CN"/>
        </w:rPr>
        <w:t>系统采购项目</w:t>
      </w:r>
    </w:p>
    <w:p w14:paraId="79AEF721">
      <w:pPr>
        <w:pStyle w:val="2"/>
        <w:shd w:val="clear" w:color="auto" w:fill="auto"/>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bookmarkStart w:id="112" w:name="_GoBack"/>
      <w:bookmarkEnd w:id="112"/>
    </w:p>
    <w:p w14:paraId="5D63450F">
      <w:pPr>
        <w:pStyle w:val="2"/>
        <w:shd w:val="clear" w:color="auto" w:fill="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17A71C6A">
      <w:pPr>
        <w:pStyle w:val="2"/>
        <w:shd w:val="clear" w:color="auto" w:fill="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6DFE4CA8">
      <w:pPr>
        <w:pStyle w:val="2"/>
        <w:shd w:val="clear" w:color="auto" w:fill="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 xml:space="preserve"> </w:t>
      </w:r>
    </w:p>
    <w:p w14:paraId="218FF149">
      <w:pPr>
        <w:shd w:val="clear" w:color="auto" w:fill="auto"/>
        <w:spacing w:before="75"/>
        <w:jc w:val="center"/>
        <w:rPr>
          <w:rFonts w:ascii="宋体" w:cs="宋体"/>
          <w:color w:val="auto"/>
          <w:kern w:val="0"/>
          <w:sz w:val="24"/>
          <w:highlight w:val="none"/>
        </w:rPr>
      </w:pPr>
      <w:r>
        <w:rPr>
          <w:rFonts w:hint="eastAsia" w:ascii="宋体" w:hAnsi="宋体" w:cs="宋体"/>
          <w:b/>
          <w:bCs/>
          <w:color w:val="auto"/>
          <w:kern w:val="0"/>
          <w:sz w:val="84"/>
          <w:highlight w:val="none"/>
        </w:rPr>
        <w:t>公开招标文件</w:t>
      </w:r>
    </w:p>
    <w:p w14:paraId="585CBA13">
      <w:pPr>
        <w:shd w:val="clear" w:color="auto" w:fill="auto"/>
        <w:spacing w:before="75"/>
        <w:jc w:val="center"/>
        <w:rPr>
          <w:rFonts w:hint="default" w:ascii="宋体" w:hAnsi="宋体" w:eastAsia="宋体" w:cs="宋体"/>
          <w:b/>
          <w:bCs/>
          <w:color w:val="auto"/>
          <w:kern w:val="0"/>
          <w:sz w:val="84"/>
          <w:highlight w:val="none"/>
          <w:lang w:val="en-US" w:eastAsia="zh-CN"/>
        </w:rPr>
      </w:pPr>
      <w:r>
        <w:rPr>
          <w:rFonts w:hint="eastAsia" w:ascii="宋体" w:hAnsi="宋体" w:cs="宋体"/>
          <w:b/>
          <w:bCs/>
          <w:color w:val="auto"/>
          <w:kern w:val="0"/>
          <w:sz w:val="52"/>
          <w:szCs w:val="52"/>
          <w:highlight w:val="none"/>
          <w:lang w:val="en-US" w:eastAsia="zh-CN"/>
        </w:rPr>
        <w:t>（预公告稿）</w:t>
      </w:r>
    </w:p>
    <w:p w14:paraId="0A3F9AB2">
      <w:pPr>
        <w:pStyle w:val="2"/>
        <w:shd w:val="clear" w:color="auto" w:fill="auto"/>
        <w:rPr>
          <w:rFonts w:hint="default"/>
          <w:color w:val="auto"/>
          <w:highlight w:val="none"/>
          <w:lang w:val="en-US"/>
        </w:rPr>
      </w:pPr>
    </w:p>
    <w:p w14:paraId="551AFFD5">
      <w:pPr>
        <w:shd w:val="clear" w:color="auto" w:fill="auto"/>
        <w:rPr>
          <w:rFonts w:hint="eastAsia"/>
          <w:color w:val="auto"/>
          <w:highlight w:val="none"/>
        </w:rPr>
      </w:pPr>
    </w:p>
    <w:p w14:paraId="4B3F9194">
      <w:pPr>
        <w:shd w:val="clear" w:color="auto" w:fill="auto"/>
        <w:spacing w:line="360" w:lineRule="auto"/>
        <w:ind w:firstLine="904" w:firstLineChars="300"/>
        <w:rPr>
          <w:rFonts w:hint="eastAsia" w:asci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招标编号：</w:t>
      </w:r>
      <w:r>
        <w:rPr>
          <w:rFonts w:hint="eastAsia" w:ascii="宋体" w:hAnsi="宋体" w:cs="宋体"/>
          <w:b/>
          <w:bCs/>
          <w:color w:val="auto"/>
          <w:kern w:val="0"/>
          <w:sz w:val="30"/>
          <w:szCs w:val="30"/>
          <w:highlight w:val="none"/>
          <w:lang w:eastAsia="zh-CN"/>
        </w:rPr>
        <w:t>FXZB-2024071</w:t>
      </w:r>
    </w:p>
    <w:p w14:paraId="2A47122A">
      <w:pPr>
        <w:shd w:val="clear" w:color="auto" w:fill="auto"/>
        <w:spacing w:line="360" w:lineRule="auto"/>
        <w:ind w:firstLine="904" w:firstLineChars="300"/>
        <w:rPr>
          <w:rFonts w:hint="eastAsia" w:asci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景弘集团有限公司人事管理系统采购项目</w:t>
      </w:r>
    </w:p>
    <w:p w14:paraId="374B70F6">
      <w:pPr>
        <w:shd w:val="clear" w:color="auto" w:fill="auto"/>
        <w:spacing w:line="360" w:lineRule="auto"/>
        <w:ind w:firstLine="904" w:firstLineChars="300"/>
        <w:rPr>
          <w:rFonts w:hint="eastAsia" w:ascii="宋体" w:eastAsia="宋体" w:cs="宋体"/>
          <w:color w:val="auto"/>
          <w:kern w:val="0"/>
          <w:sz w:val="30"/>
          <w:szCs w:val="30"/>
          <w:highlight w:val="none"/>
          <w:lang w:eastAsia="zh-CN"/>
        </w:rPr>
      </w:pPr>
      <w:r>
        <w:rPr>
          <w:rFonts w:hint="eastAsia" w:ascii="宋体" w:hAnsi="宋体" w:cs="宋体"/>
          <w:b/>
          <w:bCs/>
          <w:color w:val="auto"/>
          <w:kern w:val="0"/>
          <w:sz w:val="30"/>
          <w:szCs w:val="30"/>
          <w:highlight w:val="none"/>
        </w:rPr>
        <w:t>招 标 人：</w:t>
      </w:r>
      <w:r>
        <w:rPr>
          <w:rFonts w:hint="eastAsia" w:ascii="宋体" w:hAnsi="宋体" w:cs="宋体"/>
          <w:b/>
          <w:bCs/>
          <w:color w:val="auto"/>
          <w:kern w:val="0"/>
          <w:sz w:val="30"/>
          <w:szCs w:val="30"/>
          <w:highlight w:val="none"/>
          <w:lang w:eastAsia="zh-CN"/>
        </w:rPr>
        <w:t>景弘集团有限公司</w:t>
      </w:r>
    </w:p>
    <w:p w14:paraId="40E388E5">
      <w:pPr>
        <w:shd w:val="clear" w:color="auto" w:fill="auto"/>
        <w:bidi w:val="0"/>
        <w:rPr>
          <w:rFonts w:hint="eastAsia" w:eastAsia="宋体"/>
          <w:color w:val="auto"/>
          <w:highlight w:val="none"/>
          <w:lang w:val="en-US" w:eastAsia="zh-CN"/>
        </w:rPr>
      </w:pPr>
      <w:r>
        <w:rPr>
          <w:rFonts w:hint="eastAsia"/>
          <w:color w:val="auto"/>
          <w:highlight w:val="none"/>
          <w:lang w:val="en-US" w:eastAsia="zh-CN"/>
        </w:rPr>
        <w:t xml:space="preserve"> </w:t>
      </w:r>
    </w:p>
    <w:p w14:paraId="58FE8587">
      <w:pPr>
        <w:shd w:val="clear" w:color="auto" w:fill="auto"/>
        <w:spacing w:line="500" w:lineRule="atLeast"/>
        <w:jc w:val="center"/>
        <w:rPr>
          <w:rFonts w:hint="eastAsia" w:ascii="宋体" w:hAnsi="宋体" w:cs="宋体"/>
          <w:b/>
          <w:bCs/>
          <w:color w:val="auto"/>
          <w:kern w:val="0"/>
          <w:sz w:val="32"/>
          <w:highlight w:val="none"/>
        </w:rPr>
      </w:pPr>
    </w:p>
    <w:p w14:paraId="42A5C463">
      <w:pPr>
        <w:shd w:val="clear" w:color="auto" w:fill="auto"/>
        <w:spacing w:line="500" w:lineRule="atLeast"/>
        <w:jc w:val="center"/>
        <w:rPr>
          <w:rFonts w:hint="eastAsia" w:ascii="宋体" w:hAnsi="宋体" w:cs="宋体"/>
          <w:b/>
          <w:bCs/>
          <w:color w:val="auto"/>
          <w:kern w:val="0"/>
          <w:sz w:val="32"/>
          <w:highlight w:val="none"/>
        </w:rPr>
      </w:pPr>
    </w:p>
    <w:p w14:paraId="2376A532">
      <w:pPr>
        <w:pStyle w:val="2"/>
        <w:rPr>
          <w:rFonts w:hint="eastAsia"/>
          <w:color w:val="auto"/>
          <w:highlight w:val="none"/>
        </w:rPr>
      </w:pPr>
    </w:p>
    <w:p w14:paraId="0BFED836">
      <w:pPr>
        <w:pStyle w:val="74"/>
        <w:shd w:val="clear" w:color="auto" w:fill="auto"/>
        <w:rPr>
          <w:rFonts w:hint="eastAsia" w:ascii="宋体" w:hAnsi="宋体" w:cs="宋体"/>
          <w:b/>
          <w:bCs/>
          <w:color w:val="auto"/>
          <w:kern w:val="0"/>
          <w:sz w:val="32"/>
          <w:highlight w:val="none"/>
        </w:rPr>
      </w:pPr>
    </w:p>
    <w:p w14:paraId="31E80394">
      <w:pPr>
        <w:pStyle w:val="74"/>
        <w:shd w:val="clear" w:color="auto" w:fill="auto"/>
        <w:rPr>
          <w:rFonts w:hint="eastAsia" w:ascii="宋体" w:hAnsi="宋体" w:eastAsia="宋体" w:cs="宋体"/>
          <w:b/>
          <w:bCs/>
          <w:color w:val="auto"/>
          <w:kern w:val="0"/>
          <w:sz w:val="32"/>
          <w:highlight w:val="none"/>
          <w:lang w:val="en-US" w:eastAsia="zh-CN"/>
        </w:rPr>
      </w:pPr>
      <w:r>
        <w:rPr>
          <w:rFonts w:hint="eastAsia" w:ascii="宋体" w:hAnsi="宋体" w:cs="宋体"/>
          <w:b/>
          <w:bCs/>
          <w:color w:val="auto"/>
          <w:kern w:val="0"/>
          <w:sz w:val="32"/>
          <w:highlight w:val="none"/>
          <w:lang w:val="en-US" w:eastAsia="zh-CN"/>
        </w:rPr>
        <w:t xml:space="preserve"> </w:t>
      </w:r>
    </w:p>
    <w:p w14:paraId="7A0FBE4D">
      <w:pPr>
        <w:shd w:val="clear" w:color="auto" w:fill="auto"/>
        <w:spacing w:line="500" w:lineRule="atLeast"/>
        <w:jc w:val="center"/>
        <w:rPr>
          <w:rFonts w:ascii="宋体" w:cs="宋体"/>
          <w:color w:val="auto"/>
          <w:kern w:val="0"/>
          <w:sz w:val="24"/>
          <w:highlight w:val="none"/>
        </w:rPr>
      </w:pPr>
      <w:r>
        <w:rPr>
          <w:rFonts w:hint="eastAsia" w:ascii="宋体" w:hAnsi="宋体" w:cs="宋体"/>
          <w:b/>
          <w:bCs/>
          <w:color w:val="auto"/>
          <w:kern w:val="0"/>
          <w:sz w:val="32"/>
          <w:highlight w:val="none"/>
        </w:rPr>
        <w:t>招标代理机构：福建方兴招标代理有限公司</w:t>
      </w:r>
    </w:p>
    <w:p w14:paraId="07B5AB09">
      <w:pPr>
        <w:shd w:val="clear" w:color="auto" w:fill="auto"/>
        <w:spacing w:line="500" w:lineRule="atLeast"/>
        <w:jc w:val="center"/>
        <w:rPr>
          <w:rFonts w:hint="eastAsia" w:ascii="宋体" w:hAnsi="宋体" w:cs="宋体"/>
          <w:b/>
          <w:bCs/>
          <w:color w:val="auto"/>
          <w:kern w:val="0"/>
          <w:sz w:val="32"/>
          <w:highlight w:val="none"/>
          <w:u w:val="single"/>
        </w:rPr>
      </w:pPr>
      <w:r>
        <w:rPr>
          <w:rFonts w:hint="eastAsia" w:ascii="宋体" w:hAnsi="宋体" w:cs="宋体"/>
          <w:b/>
          <w:bCs/>
          <w:color w:val="auto"/>
          <w:kern w:val="0"/>
          <w:sz w:val="32"/>
          <w:highlight w:val="none"/>
          <w:lang w:eastAsia="zh-CN"/>
        </w:rPr>
        <w:t>二〇二五</w:t>
      </w:r>
      <w:r>
        <w:rPr>
          <w:rFonts w:hint="eastAsia" w:ascii="宋体" w:hAnsi="宋体" w:cs="宋体"/>
          <w:b/>
          <w:bCs/>
          <w:color w:val="auto"/>
          <w:kern w:val="0"/>
          <w:sz w:val="32"/>
          <w:highlight w:val="none"/>
        </w:rPr>
        <w:t>年</w:t>
      </w:r>
      <w:r>
        <w:rPr>
          <w:rFonts w:hint="eastAsia" w:ascii="宋体" w:hAnsi="宋体" w:cs="宋体"/>
          <w:b/>
          <w:bCs/>
          <w:color w:val="auto"/>
          <w:kern w:val="0"/>
          <w:sz w:val="32"/>
          <w:highlight w:val="none"/>
          <w:lang w:val="en-US" w:eastAsia="zh-CN"/>
        </w:rPr>
        <w:t>八</w:t>
      </w:r>
      <w:r>
        <w:rPr>
          <w:rFonts w:hint="eastAsia" w:ascii="宋体" w:hAnsi="宋体" w:cs="宋体"/>
          <w:b/>
          <w:bCs/>
          <w:color w:val="auto"/>
          <w:kern w:val="0"/>
          <w:sz w:val="32"/>
          <w:highlight w:val="none"/>
        </w:rPr>
        <w:t>月</w:t>
      </w:r>
    </w:p>
    <w:p w14:paraId="593A27D7">
      <w:pPr>
        <w:shd w:val="clear" w:color="auto" w:fill="auto"/>
        <w:spacing w:line="500" w:lineRule="atLeast"/>
        <w:rPr>
          <w:color w:val="auto"/>
          <w:highlight w:val="none"/>
          <w:u w:val="thick"/>
        </w:rPr>
      </w:pPr>
      <w:r>
        <w:rPr>
          <w:rFonts w:hint="eastAsia"/>
          <w:color w:val="auto"/>
          <w:highlight w:val="none"/>
          <w:u w:val="thick"/>
        </w:rPr>
        <w:t xml:space="preserve">                                                                                           </w:t>
      </w:r>
    </w:p>
    <w:p w14:paraId="08F1E1FA">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7"/>
          <w:highlight w:val="none"/>
        </w:rPr>
        <w:t>地址：福州市鼓楼区鼓屏路</w:t>
      </w:r>
      <w:r>
        <w:rPr>
          <w:rFonts w:ascii="宋体" w:hAnsi="宋体" w:cs="宋体"/>
          <w:color w:val="auto"/>
          <w:kern w:val="0"/>
          <w:sz w:val="27"/>
          <w:highlight w:val="none"/>
        </w:rPr>
        <w:t>192</w:t>
      </w:r>
      <w:r>
        <w:rPr>
          <w:rFonts w:hint="eastAsia" w:ascii="宋体" w:hAnsi="宋体" w:cs="宋体"/>
          <w:color w:val="auto"/>
          <w:kern w:val="0"/>
          <w:sz w:val="27"/>
          <w:highlight w:val="none"/>
        </w:rPr>
        <w:t>号山海大厦南楼</w:t>
      </w:r>
      <w:r>
        <w:rPr>
          <w:rFonts w:ascii="宋体" w:hAnsi="宋体" w:cs="宋体"/>
          <w:color w:val="auto"/>
          <w:kern w:val="0"/>
          <w:sz w:val="27"/>
          <w:highlight w:val="none"/>
        </w:rPr>
        <w:t>11</w:t>
      </w:r>
      <w:r>
        <w:rPr>
          <w:rFonts w:hint="eastAsia" w:ascii="宋体" w:hAnsi="宋体" w:cs="宋体"/>
          <w:color w:val="auto"/>
          <w:kern w:val="0"/>
          <w:sz w:val="27"/>
          <w:highlight w:val="none"/>
        </w:rPr>
        <w:t>层</w:t>
      </w:r>
      <w:r>
        <w:rPr>
          <w:rFonts w:ascii="宋体" w:hAnsi="宋体" w:cs="宋体"/>
          <w:color w:val="auto"/>
          <w:kern w:val="0"/>
          <w:sz w:val="27"/>
          <w:highlight w:val="none"/>
        </w:rPr>
        <w:t xml:space="preserve">          </w:t>
      </w:r>
      <w:r>
        <w:rPr>
          <w:rFonts w:hint="eastAsia" w:ascii="宋体" w:hAnsi="宋体" w:cs="宋体"/>
          <w:color w:val="auto"/>
          <w:kern w:val="0"/>
          <w:sz w:val="27"/>
          <w:highlight w:val="none"/>
        </w:rPr>
        <w:t>邮编：</w:t>
      </w:r>
      <w:r>
        <w:rPr>
          <w:rFonts w:ascii="宋体" w:hAnsi="宋体" w:cs="宋体"/>
          <w:color w:val="auto"/>
          <w:kern w:val="0"/>
          <w:sz w:val="27"/>
          <w:highlight w:val="none"/>
        </w:rPr>
        <w:t xml:space="preserve"> 350003</w:t>
      </w:r>
    </w:p>
    <w:p w14:paraId="7277BD38">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8"/>
          <w:szCs w:val="28"/>
          <w:highlight w:val="none"/>
        </w:rPr>
        <w:t>电话：</w:t>
      </w:r>
      <w:r>
        <w:rPr>
          <w:rFonts w:ascii="宋体" w:hAnsi="宋体" w:cs="宋体"/>
          <w:color w:val="auto"/>
          <w:kern w:val="0"/>
          <w:sz w:val="28"/>
          <w:szCs w:val="28"/>
          <w:highlight w:val="none"/>
        </w:rPr>
        <w:t xml:space="preserve">0591-87278232                              </w:t>
      </w:r>
      <w:r>
        <w:rPr>
          <w:rFonts w:hint="eastAsia" w:ascii="宋体" w:hAnsi="宋体" w:cs="宋体"/>
          <w:color w:val="auto"/>
          <w:kern w:val="0"/>
          <w:sz w:val="28"/>
          <w:szCs w:val="28"/>
          <w:highlight w:val="none"/>
        </w:rPr>
        <w:t>传真：</w:t>
      </w:r>
      <w:r>
        <w:rPr>
          <w:rFonts w:ascii="宋体" w:hAnsi="宋体" w:cs="宋体"/>
          <w:color w:val="auto"/>
          <w:kern w:val="0"/>
          <w:sz w:val="28"/>
          <w:szCs w:val="28"/>
          <w:highlight w:val="none"/>
        </w:rPr>
        <w:t>0591-87278232</w:t>
      </w:r>
    </w:p>
    <w:p w14:paraId="68072F52">
      <w:pPr>
        <w:shd w:val="clear" w:color="auto" w:fill="auto"/>
        <w:spacing w:before="75" w:line="360" w:lineRule="auto"/>
        <w:rPr>
          <w:rFonts w:ascii="宋体" w:cs="宋体"/>
          <w:color w:val="auto"/>
          <w:kern w:val="0"/>
          <w:sz w:val="24"/>
          <w:highlight w:val="none"/>
        </w:rPr>
      </w:pPr>
      <w:r>
        <w:rPr>
          <w:color w:val="auto"/>
          <w:highlight w:val="none"/>
        </w:rPr>
        <w:fldChar w:fldCharType="begin"/>
      </w:r>
      <w:r>
        <w:rPr>
          <w:color w:val="auto"/>
          <w:highlight w:val="none"/>
        </w:rPr>
        <w:instrText xml:space="preserve"> HYPERLINK "http://www.fjfxzbdl.com/" \t "_blank" </w:instrText>
      </w:r>
      <w:r>
        <w:rPr>
          <w:color w:val="auto"/>
          <w:highlight w:val="none"/>
        </w:rPr>
        <w:fldChar w:fldCharType="separate"/>
      </w:r>
      <w:r>
        <w:rPr>
          <w:rFonts w:ascii="宋体" w:hAnsi="宋体" w:cs="宋体"/>
          <w:color w:val="auto"/>
          <w:kern w:val="0"/>
          <w:sz w:val="27"/>
          <w:highlight w:val="none"/>
        </w:rPr>
        <w:t>Http://www.fjfxzbdl.com</w:t>
      </w:r>
      <w:r>
        <w:rPr>
          <w:rFonts w:ascii="宋体" w:hAnsi="宋体" w:cs="宋体"/>
          <w:color w:val="auto"/>
          <w:kern w:val="0"/>
          <w:sz w:val="27"/>
          <w:highlight w:val="none"/>
        </w:rPr>
        <w:fldChar w:fldCharType="end"/>
      </w:r>
      <w:r>
        <w:rPr>
          <w:rFonts w:ascii="宋体" w:hAnsi="宋体" w:cs="宋体"/>
          <w:color w:val="auto"/>
          <w:kern w:val="0"/>
          <w:sz w:val="27"/>
          <w:szCs w:val="27"/>
          <w:highlight w:val="none"/>
        </w:rPr>
        <w:t xml:space="preserve">                        E-mail</w:t>
      </w:r>
      <w:r>
        <w:rPr>
          <w:rFonts w:hint="eastAsia" w:ascii="宋体" w:hAnsi="宋体" w:cs="宋体"/>
          <w:color w:val="auto"/>
          <w:kern w:val="0"/>
          <w:sz w:val="27"/>
          <w:szCs w:val="27"/>
          <w:highlight w:val="none"/>
          <w:lang w:eastAsia="zh-CN"/>
        </w:rPr>
        <w:t xml:space="preserve">: </w:t>
      </w:r>
      <w:r>
        <w:rPr>
          <w:rFonts w:ascii="宋体" w:hAnsi="宋体" w:cs="宋体"/>
          <w:color w:val="auto"/>
          <w:kern w:val="0"/>
          <w:sz w:val="27"/>
          <w:szCs w:val="27"/>
          <w:highlight w:val="none"/>
        </w:rPr>
        <w:t>fxzb178@163.com</w:t>
      </w:r>
    </w:p>
    <w:p w14:paraId="22B65254">
      <w:pPr>
        <w:shd w:val="clear" w:color="auto" w:fill="auto"/>
        <w:snapToGrid w:val="0"/>
        <w:spacing w:line="360" w:lineRule="auto"/>
        <w:jc w:val="center"/>
        <w:rPr>
          <w:rStyle w:val="44"/>
          <w:rFonts w:ascii="新宋体" w:hAnsi="新宋体" w:eastAsia="新宋体"/>
          <w:b/>
          <w:color w:val="auto"/>
          <w:sz w:val="52"/>
          <w:szCs w:val="52"/>
          <w:highlight w:val="none"/>
        </w:rPr>
      </w:pPr>
      <w:r>
        <w:rPr>
          <w:rStyle w:val="44"/>
          <w:rFonts w:ascii="新宋体" w:hAnsi="新宋体" w:eastAsia="新宋体"/>
          <w:b/>
          <w:color w:val="auto"/>
          <w:sz w:val="52"/>
          <w:szCs w:val="52"/>
          <w:highlight w:val="none"/>
        </w:rPr>
        <w:t>目  录</w:t>
      </w:r>
    </w:p>
    <w:p w14:paraId="6784458F">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_Toc16110 </w:instrText>
      </w:r>
      <w:r>
        <w:rPr>
          <w:color w:val="auto"/>
          <w:sz w:val="28"/>
          <w:szCs w:val="28"/>
          <w:highlight w:val="none"/>
        </w:rPr>
        <w:fldChar w:fldCharType="separate"/>
      </w:r>
      <w:r>
        <w:rPr>
          <w:color w:val="auto"/>
          <w:sz w:val="28"/>
          <w:szCs w:val="28"/>
          <w:highlight w:val="none"/>
        </w:rPr>
        <w:t>第一章</w:t>
      </w: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_Toc16110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4499AAC8">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_Toc21514 </w:instrText>
      </w:r>
      <w:r>
        <w:rPr>
          <w:color w:val="auto"/>
          <w:sz w:val="28"/>
          <w:szCs w:val="28"/>
          <w:highlight w:val="none"/>
        </w:rPr>
        <w:fldChar w:fldCharType="separate"/>
      </w:r>
      <w:r>
        <w:rPr>
          <w:rFonts w:hint="eastAsia"/>
          <w:color w:val="auto"/>
          <w:sz w:val="28"/>
          <w:szCs w:val="28"/>
          <w:highlight w:val="none"/>
        </w:rPr>
        <w:t>附：招标标的一览表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_Toc21514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29F9F674">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_Toc13038 </w:instrText>
      </w:r>
      <w:r>
        <w:rPr>
          <w:color w:val="auto"/>
          <w:sz w:val="28"/>
          <w:szCs w:val="28"/>
          <w:highlight w:val="none"/>
        </w:rPr>
        <w:fldChar w:fldCharType="separate"/>
      </w:r>
      <w:r>
        <w:rPr>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_Toc13038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457700DE">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_Toc7108 </w:instrText>
      </w:r>
      <w:r>
        <w:rPr>
          <w:color w:val="auto"/>
          <w:sz w:val="28"/>
          <w:szCs w:val="28"/>
          <w:highlight w:val="none"/>
        </w:rPr>
        <w:fldChar w:fldCharType="separate"/>
      </w:r>
      <w:r>
        <w:rPr>
          <w:rFonts w:ascii="新宋体" w:hAnsi="新宋体" w:eastAsia="新宋体"/>
          <w:color w:val="auto"/>
          <w:sz w:val="28"/>
          <w:szCs w:val="28"/>
          <w:highlight w:val="none"/>
        </w:rPr>
        <w:t>投标人须知前附表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_Toc7108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265A3DD7">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_Toc28720 </w:instrText>
      </w:r>
      <w:r>
        <w:rPr>
          <w:color w:val="auto"/>
          <w:sz w:val="28"/>
          <w:szCs w:val="28"/>
          <w:highlight w:val="none"/>
        </w:rPr>
        <w:fldChar w:fldCharType="separate"/>
      </w:r>
      <w:r>
        <w:rPr>
          <w:rFonts w:ascii="宋体" w:hAnsi="宋体"/>
          <w:color w:val="auto"/>
          <w:kern w:val="0"/>
          <w:sz w:val="28"/>
          <w:szCs w:val="28"/>
          <w:highlight w:val="none"/>
        </w:rPr>
        <w:t>附件A：</w:t>
      </w:r>
      <w:r>
        <w:rPr>
          <w:rFonts w:hint="eastAsia" w:ascii="宋体" w:hAnsi="宋体" w:eastAsia="宋体"/>
          <w:color w:val="auto"/>
          <w:sz w:val="28"/>
          <w:szCs w:val="28"/>
          <w:highlight w:val="none"/>
          <w:lang w:eastAsia="zh-CN"/>
        </w:rPr>
        <w:t>评标方法和标准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_Toc28720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7403CDD3">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_Toc10198 </w:instrText>
      </w:r>
      <w:r>
        <w:rPr>
          <w:color w:val="auto"/>
          <w:sz w:val="28"/>
          <w:szCs w:val="28"/>
          <w:highlight w:val="none"/>
        </w:rPr>
        <w:fldChar w:fldCharType="separate"/>
      </w:r>
      <w:r>
        <w:rPr>
          <w:color w:val="auto"/>
          <w:sz w:val="28"/>
          <w:szCs w:val="28"/>
          <w:highlight w:val="none"/>
        </w:rPr>
        <w:t>一</w:t>
      </w:r>
      <w:r>
        <w:rPr>
          <w:rFonts w:hint="eastAsia"/>
          <w:color w:val="auto"/>
          <w:sz w:val="28"/>
          <w:szCs w:val="28"/>
          <w:highlight w:val="none"/>
          <w:lang w:eastAsia="zh-CN"/>
        </w:rPr>
        <w:t>、</w:t>
      </w:r>
      <w:r>
        <w:rPr>
          <w:color w:val="auto"/>
          <w:sz w:val="28"/>
          <w:szCs w:val="28"/>
          <w:highlight w:val="none"/>
        </w:rPr>
        <w:t>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_Toc10198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14:paraId="349F2B97">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_Toc32021 </w:instrText>
      </w:r>
      <w:r>
        <w:rPr>
          <w:color w:val="auto"/>
          <w:sz w:val="28"/>
          <w:szCs w:val="28"/>
          <w:highlight w:val="none"/>
        </w:rPr>
        <w:fldChar w:fldCharType="separate"/>
      </w:r>
      <w:r>
        <w:rPr>
          <w:color w:val="auto"/>
          <w:sz w:val="28"/>
          <w:szCs w:val="28"/>
          <w:highlight w:val="none"/>
        </w:rPr>
        <w:t>二、招标文件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_Toc32021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07446DED">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_Toc30706 </w:instrText>
      </w:r>
      <w:r>
        <w:rPr>
          <w:color w:val="auto"/>
          <w:sz w:val="28"/>
          <w:szCs w:val="28"/>
          <w:highlight w:val="none"/>
        </w:rPr>
        <w:fldChar w:fldCharType="separate"/>
      </w:r>
      <w:r>
        <w:rPr>
          <w:color w:val="auto"/>
          <w:sz w:val="28"/>
          <w:szCs w:val="28"/>
          <w:highlight w:val="none"/>
        </w:rPr>
        <w:t>三</w:t>
      </w:r>
      <w:r>
        <w:rPr>
          <w:rFonts w:hint="eastAsia"/>
          <w:color w:val="auto"/>
          <w:sz w:val="28"/>
          <w:szCs w:val="28"/>
          <w:highlight w:val="none"/>
          <w:lang w:eastAsia="zh-CN"/>
        </w:rPr>
        <w:t>、</w:t>
      </w:r>
      <w:r>
        <w:rPr>
          <w:color w:val="auto"/>
          <w:sz w:val="28"/>
          <w:szCs w:val="28"/>
          <w:highlight w:val="none"/>
        </w:rPr>
        <w:t>投标文件的编写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_Toc30706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463F1E32">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_Toc2556 </w:instrText>
      </w:r>
      <w:r>
        <w:rPr>
          <w:color w:val="auto"/>
          <w:sz w:val="28"/>
          <w:szCs w:val="28"/>
          <w:highlight w:val="none"/>
        </w:rPr>
        <w:fldChar w:fldCharType="separate"/>
      </w:r>
      <w:r>
        <w:rPr>
          <w:color w:val="auto"/>
          <w:sz w:val="28"/>
          <w:szCs w:val="28"/>
          <w:highlight w:val="none"/>
        </w:rPr>
        <w:t>四</w:t>
      </w:r>
      <w:r>
        <w:rPr>
          <w:rFonts w:hint="eastAsia"/>
          <w:color w:val="auto"/>
          <w:sz w:val="28"/>
          <w:szCs w:val="28"/>
          <w:highlight w:val="none"/>
          <w:lang w:eastAsia="zh-CN"/>
        </w:rPr>
        <w:t>、</w:t>
      </w:r>
      <w:r>
        <w:rPr>
          <w:color w:val="auto"/>
          <w:sz w:val="28"/>
          <w:szCs w:val="28"/>
          <w:highlight w:val="none"/>
        </w:rPr>
        <w:t>投标文件的提交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_Toc2556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5571BD29">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_Toc13480 </w:instrText>
      </w:r>
      <w:r>
        <w:rPr>
          <w:color w:val="auto"/>
          <w:sz w:val="28"/>
          <w:szCs w:val="28"/>
          <w:highlight w:val="none"/>
        </w:rPr>
        <w:fldChar w:fldCharType="separate"/>
      </w:r>
      <w:r>
        <w:rPr>
          <w:color w:val="auto"/>
          <w:sz w:val="28"/>
          <w:szCs w:val="28"/>
          <w:highlight w:val="none"/>
        </w:rPr>
        <w:t>五、投标文件的评估和比较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_Toc13480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0606FEDC">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_Toc6203 </w:instrText>
      </w:r>
      <w:r>
        <w:rPr>
          <w:color w:val="auto"/>
          <w:sz w:val="28"/>
          <w:szCs w:val="28"/>
          <w:highlight w:val="none"/>
        </w:rPr>
        <w:fldChar w:fldCharType="separate"/>
      </w:r>
      <w:r>
        <w:rPr>
          <w:color w:val="auto"/>
          <w:sz w:val="28"/>
          <w:szCs w:val="28"/>
          <w:highlight w:val="none"/>
        </w:rPr>
        <w:t>六、定标与签订合同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_Toc6203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6C36A14F">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_Toc28911 </w:instrText>
      </w:r>
      <w:r>
        <w:rPr>
          <w:color w:val="auto"/>
          <w:sz w:val="28"/>
          <w:szCs w:val="28"/>
          <w:highlight w:val="none"/>
        </w:rPr>
        <w:fldChar w:fldCharType="separate"/>
      </w:r>
      <w:r>
        <w:rPr>
          <w:color w:val="auto"/>
          <w:sz w:val="28"/>
          <w:szCs w:val="28"/>
          <w:highlight w:val="none"/>
        </w:rPr>
        <w:t>第三章  招标内容及要求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_Toc28911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38DDDC8D">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_Toc4599 </w:instrText>
      </w:r>
      <w:r>
        <w:rPr>
          <w:color w:val="auto"/>
          <w:sz w:val="28"/>
          <w:szCs w:val="28"/>
          <w:highlight w:val="none"/>
        </w:rPr>
        <w:fldChar w:fldCharType="separate"/>
      </w:r>
      <w:r>
        <w:rPr>
          <w:rFonts w:hint="eastAsia"/>
          <w:bCs/>
          <w:color w:val="auto"/>
          <w:sz w:val="28"/>
          <w:szCs w:val="28"/>
          <w:highlight w:val="none"/>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_Toc4599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39C2CFA">
      <w:pPr>
        <w:pStyle w:val="20"/>
        <w:tabs>
          <w:tab w:val="right" w:leader="dot" w:pos="9746"/>
        </w:tabs>
        <w:spacing w:line="360" w:lineRule="auto"/>
        <w:ind w:left="0" w:leftChars="0"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_Toc19748 </w:instrText>
      </w:r>
      <w:r>
        <w:rPr>
          <w:color w:val="auto"/>
          <w:sz w:val="28"/>
          <w:szCs w:val="28"/>
          <w:highlight w:val="none"/>
        </w:rPr>
        <w:fldChar w:fldCharType="separate"/>
      </w:r>
      <w:r>
        <w:rPr>
          <w:rFonts w:hint="eastAsia"/>
          <w:bCs/>
          <w:color w:val="auto"/>
          <w:sz w:val="28"/>
          <w:szCs w:val="28"/>
          <w:highlight w:val="none"/>
        </w:rPr>
        <w:t>二、技术要求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_Toc19748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EC13008">
      <w:pPr>
        <w:pStyle w:val="19"/>
        <w:tabs>
          <w:tab w:val="right" w:leader="dot" w:pos="9746"/>
        </w:tabs>
        <w:spacing w:line="360" w:lineRule="auto"/>
        <w:ind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_Toc9318 </w:instrText>
      </w:r>
      <w:r>
        <w:rPr>
          <w:color w:val="auto"/>
          <w:sz w:val="28"/>
          <w:szCs w:val="28"/>
          <w:highlight w:val="none"/>
        </w:rPr>
        <w:fldChar w:fldCharType="separate"/>
      </w:r>
      <w:r>
        <w:rPr>
          <w:rFonts w:hint="eastAsia"/>
          <w:color w:val="auto"/>
          <w:sz w:val="28"/>
          <w:szCs w:val="28"/>
          <w:highlight w:val="none"/>
        </w:rPr>
        <w:t>三、商务条件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_Toc9318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14:paraId="05BC7720">
      <w:pPr>
        <w:pStyle w:val="19"/>
        <w:tabs>
          <w:tab w:val="right" w:leader="dot" w:pos="9746"/>
        </w:tabs>
        <w:spacing w:line="360" w:lineRule="auto"/>
        <w:ind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_Toc3031 </w:instrText>
      </w:r>
      <w:r>
        <w:rPr>
          <w:color w:val="auto"/>
          <w:sz w:val="28"/>
          <w:szCs w:val="28"/>
          <w:highlight w:val="none"/>
        </w:rPr>
        <w:fldChar w:fldCharType="separate"/>
      </w:r>
      <w:r>
        <w:rPr>
          <w:rFonts w:hint="eastAsia"/>
          <w:color w:val="auto"/>
          <w:sz w:val="28"/>
          <w:szCs w:val="28"/>
          <w:highlight w:val="none"/>
        </w:rPr>
        <w:t>四、其他事项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_Toc3031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76661BAD">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_Toc29031 </w:instrText>
      </w:r>
      <w:r>
        <w:rPr>
          <w:color w:val="auto"/>
          <w:sz w:val="28"/>
          <w:szCs w:val="28"/>
          <w:highlight w:val="none"/>
        </w:rPr>
        <w:fldChar w:fldCharType="separate"/>
      </w:r>
      <w:r>
        <w:rPr>
          <w:color w:val="auto"/>
          <w:sz w:val="28"/>
          <w:szCs w:val="28"/>
          <w:highlight w:val="none"/>
        </w:rPr>
        <w:t>第四章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_Toc29031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77BEAD77">
      <w:pPr>
        <w:pStyle w:val="19"/>
        <w:tabs>
          <w:tab w:val="right" w:leader="dot" w:pos="9746"/>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_Toc21307 </w:instrText>
      </w:r>
      <w:r>
        <w:rPr>
          <w:color w:val="auto"/>
          <w:sz w:val="28"/>
          <w:szCs w:val="28"/>
          <w:highlight w:val="none"/>
        </w:rPr>
        <w:fldChar w:fldCharType="separate"/>
      </w:r>
      <w:r>
        <w:rPr>
          <w:color w:val="auto"/>
          <w:sz w:val="28"/>
          <w:szCs w:val="28"/>
          <w:highlight w:val="none"/>
        </w:rPr>
        <w:t>第五章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_Toc21307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4FD86678">
      <w:pPr>
        <w:shd w:val="clear" w:color="auto" w:fill="auto"/>
        <w:spacing w:line="360" w:lineRule="auto"/>
        <w:rPr>
          <w:rFonts w:hint="default" w:eastAsia="宋体"/>
          <w:color w:val="auto"/>
          <w:sz w:val="28"/>
          <w:szCs w:val="28"/>
          <w:highlight w:val="none"/>
          <w:lang w:val="en-US" w:eastAsia="zh-CN"/>
        </w:rPr>
      </w:pPr>
      <w:r>
        <w:rPr>
          <w:color w:val="auto"/>
          <w:sz w:val="28"/>
          <w:szCs w:val="28"/>
          <w:highlight w:val="none"/>
        </w:rPr>
        <w:fldChar w:fldCharType="end"/>
      </w:r>
      <w:r>
        <w:rPr>
          <w:rFonts w:hint="eastAsia"/>
          <w:color w:val="auto"/>
          <w:sz w:val="28"/>
          <w:szCs w:val="28"/>
          <w:highlight w:val="none"/>
          <w:lang w:val="en-US" w:eastAsia="zh-CN"/>
        </w:rPr>
        <w:t xml:space="preserve">  </w:t>
      </w:r>
    </w:p>
    <w:p w14:paraId="25D9D45B">
      <w:pPr>
        <w:shd w:val="clear" w:color="auto" w:fill="auto"/>
        <w:tabs>
          <w:tab w:val="left" w:pos="3465"/>
        </w:tabs>
        <w:snapToGrid w:val="0"/>
        <w:spacing w:line="360" w:lineRule="auto"/>
        <w:ind w:firstLine="413" w:firstLineChars="147"/>
        <w:rPr>
          <w:rStyle w:val="44"/>
          <w:rFonts w:hint="eastAsia" w:ascii="新宋体" w:hAnsi="新宋体" w:eastAsia="新宋体" w:cs="Arial"/>
          <w:b/>
          <w:bCs/>
          <w:caps/>
          <w:color w:val="auto"/>
          <w:sz w:val="28"/>
          <w:szCs w:val="28"/>
          <w:highlight w:val="none"/>
          <w:lang w:val="en-US" w:eastAsia="zh-CN"/>
        </w:rPr>
      </w:pPr>
      <w:r>
        <w:rPr>
          <w:rStyle w:val="44"/>
          <w:rFonts w:ascii="新宋体" w:hAnsi="新宋体" w:eastAsia="新宋体" w:cs="Arial"/>
          <w:b/>
          <w:bCs/>
          <w:caps/>
          <w:color w:val="auto"/>
          <w:sz w:val="28"/>
          <w:szCs w:val="28"/>
          <w:highlight w:val="none"/>
        </w:rPr>
        <w:tab/>
      </w:r>
      <w:r>
        <w:rPr>
          <w:rStyle w:val="44"/>
          <w:rFonts w:hint="eastAsia" w:ascii="新宋体" w:hAnsi="新宋体" w:eastAsia="新宋体" w:cs="Arial"/>
          <w:b/>
          <w:bCs/>
          <w:caps/>
          <w:color w:val="auto"/>
          <w:sz w:val="28"/>
          <w:szCs w:val="28"/>
          <w:highlight w:val="none"/>
          <w:lang w:val="en-US" w:eastAsia="zh-CN"/>
        </w:rPr>
        <w:t xml:space="preserve"> </w:t>
      </w:r>
    </w:p>
    <w:p w14:paraId="5E8BC5CB">
      <w:pPr>
        <w:shd w:val="clear" w:color="auto" w:fill="auto"/>
        <w:tabs>
          <w:tab w:val="left" w:pos="3465"/>
        </w:tabs>
        <w:snapToGrid w:val="0"/>
        <w:spacing w:line="800" w:lineRule="exact"/>
        <w:ind w:firstLine="354" w:firstLineChars="147"/>
        <w:rPr>
          <w:rStyle w:val="44"/>
          <w:rFonts w:ascii="新宋体" w:hAnsi="新宋体" w:eastAsia="新宋体" w:cs="Arial"/>
          <w:b/>
          <w:bCs/>
          <w:caps/>
          <w:color w:val="auto"/>
          <w:sz w:val="24"/>
          <w:szCs w:val="24"/>
          <w:highlight w:val="none"/>
        </w:rPr>
      </w:pPr>
      <w:r>
        <w:rPr>
          <w:rStyle w:val="44"/>
          <w:rFonts w:ascii="新宋体" w:hAnsi="新宋体" w:eastAsia="新宋体" w:cs="Arial"/>
          <w:b/>
          <w:bCs/>
          <w:caps/>
          <w:color w:val="auto"/>
          <w:sz w:val="24"/>
          <w:szCs w:val="24"/>
          <w:highlight w:val="none"/>
        </w:rPr>
        <w:tab/>
      </w:r>
    </w:p>
    <w:p w14:paraId="5E3811A9">
      <w:pPr>
        <w:shd w:val="clear" w:color="auto" w:fill="auto"/>
        <w:snapToGrid w:val="0"/>
        <w:spacing w:line="500" w:lineRule="exact"/>
        <w:ind w:firstLine="310" w:firstLineChars="147"/>
        <w:rPr>
          <w:rStyle w:val="44"/>
          <w:rFonts w:ascii="新宋体" w:hAnsi="新宋体" w:eastAsia="新宋体"/>
          <w:b/>
          <w:color w:val="auto"/>
          <w:sz w:val="20"/>
          <w:szCs w:val="21"/>
          <w:highlight w:val="none"/>
        </w:rPr>
      </w:pPr>
      <w:r>
        <w:rPr>
          <w:rStyle w:val="44"/>
          <w:rFonts w:ascii="新宋体" w:hAnsi="新宋体" w:eastAsia="新宋体"/>
          <w:b/>
          <w:color w:val="auto"/>
          <w:szCs w:val="21"/>
          <w:highlight w:val="none"/>
        </w:rPr>
        <w:t>注：请投标人领取招标文件时自行核对，如发现缺、损等情况，自领取招标文件之日起二日内向</w:t>
      </w:r>
      <w:r>
        <w:rPr>
          <w:rStyle w:val="44"/>
          <w:rFonts w:hint="eastAsia" w:ascii="新宋体" w:hAnsi="新宋体" w:eastAsia="新宋体"/>
          <w:b/>
          <w:color w:val="auto"/>
          <w:szCs w:val="21"/>
          <w:highlight w:val="none"/>
        </w:rPr>
        <w:t>福建方兴</w:t>
      </w:r>
      <w:r>
        <w:rPr>
          <w:rStyle w:val="44"/>
          <w:rFonts w:ascii="新宋体" w:hAnsi="新宋体" w:eastAsia="新宋体"/>
          <w:b/>
          <w:color w:val="auto"/>
          <w:szCs w:val="21"/>
          <w:highlight w:val="none"/>
        </w:rPr>
        <w:t>招标代理有限公司提出，否则，由此造成的一切后果由投标人自负。</w:t>
      </w:r>
    </w:p>
    <w:p w14:paraId="2CA4B8A9">
      <w:pPr>
        <w:shd w:val="clear" w:color="auto" w:fill="auto"/>
        <w:tabs>
          <w:tab w:val="left" w:pos="1410"/>
        </w:tabs>
        <w:snapToGrid w:val="0"/>
        <w:spacing w:line="500" w:lineRule="exact"/>
        <w:rPr>
          <w:rStyle w:val="44"/>
          <w:rFonts w:ascii="新宋体" w:hAnsi="新宋体" w:eastAsia="新宋体"/>
          <w:b/>
          <w:color w:val="auto"/>
          <w:sz w:val="36"/>
          <w:szCs w:val="36"/>
          <w:highlight w:val="none"/>
        </w:rPr>
        <w:sectPr>
          <w:headerReference r:id="rId3" w:type="default"/>
          <w:footerReference r:id="rId4" w:type="default"/>
          <w:pgSz w:w="11906" w:h="16838"/>
          <w:pgMar w:top="1440" w:right="1080" w:bottom="1440" w:left="1080" w:header="794" w:footer="794" w:gutter="0"/>
          <w:pgBorders>
            <w:top w:val="none" w:sz="0" w:space="0"/>
            <w:left w:val="none" w:sz="0" w:space="0"/>
            <w:bottom w:val="none" w:sz="0" w:space="0"/>
            <w:right w:val="none" w:sz="0" w:space="0"/>
          </w:pgBorders>
          <w:pgNumType w:start="1"/>
          <w:cols w:space="720" w:num="1"/>
          <w:rtlGutter w:val="0"/>
          <w:docGrid w:linePitch="312" w:charSpace="0"/>
        </w:sectPr>
      </w:pPr>
    </w:p>
    <w:p w14:paraId="397D9661">
      <w:pPr>
        <w:pStyle w:val="3"/>
        <w:shd w:val="clear" w:color="auto" w:fill="auto"/>
        <w:bidi w:val="0"/>
        <w:rPr>
          <w:color w:val="auto"/>
          <w:highlight w:val="none"/>
        </w:rPr>
      </w:pPr>
      <w:bookmarkStart w:id="0" w:name="_Toc16110"/>
      <w:r>
        <w:rPr>
          <w:color w:val="auto"/>
          <w:highlight w:val="none"/>
        </w:rPr>
        <w:t>第一章</w:t>
      </w:r>
      <w:r>
        <w:rPr>
          <w:rFonts w:hint="eastAsia"/>
          <w:color w:val="auto"/>
          <w:highlight w:val="none"/>
        </w:rPr>
        <w:t xml:space="preserve"> </w:t>
      </w:r>
      <w:r>
        <w:rPr>
          <w:color w:val="auto"/>
          <w:highlight w:val="none"/>
        </w:rPr>
        <w:t>投标邀请</w:t>
      </w:r>
      <w:bookmarkEnd w:id="0"/>
    </w:p>
    <w:p w14:paraId="23444254">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福建方兴招标代理有限公司受</w:t>
      </w:r>
      <w:r>
        <w:rPr>
          <w:rFonts w:hint="eastAsia" w:ascii="宋体" w:hAnsi="宋体" w:cs="宋体"/>
          <w:color w:val="auto"/>
          <w:kern w:val="0"/>
          <w:sz w:val="24"/>
          <w:highlight w:val="none"/>
          <w:u w:val="single"/>
          <w:lang w:eastAsia="zh-CN"/>
        </w:rPr>
        <w:t>景弘集团有限公司</w:t>
      </w:r>
      <w:r>
        <w:rPr>
          <w:rFonts w:hint="eastAsia" w:ascii="宋体" w:hAnsi="宋体" w:cs="宋体"/>
          <w:color w:val="auto"/>
          <w:kern w:val="0"/>
          <w:sz w:val="24"/>
          <w:highlight w:val="none"/>
        </w:rPr>
        <w:t>委托，对</w:t>
      </w:r>
      <w:r>
        <w:rPr>
          <w:rFonts w:hint="eastAsia" w:ascii="宋体" w:hAnsi="宋体" w:cs="宋体"/>
          <w:color w:val="auto"/>
          <w:kern w:val="0"/>
          <w:sz w:val="24"/>
          <w:highlight w:val="none"/>
          <w:u w:val="single"/>
          <w:lang w:eastAsia="zh-CN"/>
        </w:rPr>
        <w:t>景弘集团有限公司人事管理系统采购项目</w:t>
      </w:r>
      <w:r>
        <w:rPr>
          <w:rFonts w:hint="eastAsia" w:ascii="宋体" w:hAnsi="宋体" w:cs="宋体"/>
          <w:color w:val="auto"/>
          <w:kern w:val="0"/>
          <w:sz w:val="24"/>
          <w:highlight w:val="none"/>
        </w:rPr>
        <w:t>进行公开招标，现欢迎国内的合格投标人前来提交密封的投标文件。</w:t>
      </w:r>
    </w:p>
    <w:p w14:paraId="5452F6FF">
      <w:pPr>
        <w:shd w:val="clear" w:color="auto" w:fill="auto"/>
        <w:spacing w:before="75" w:line="400" w:lineRule="atLeast"/>
        <w:ind w:firstLine="48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、招标编号：</w:t>
      </w:r>
      <w:r>
        <w:rPr>
          <w:rFonts w:hint="eastAsia" w:ascii="宋体" w:hAnsi="宋体" w:cs="宋体"/>
          <w:color w:val="auto"/>
          <w:kern w:val="0"/>
          <w:sz w:val="24"/>
          <w:highlight w:val="none"/>
          <w:u w:val="single"/>
          <w:lang w:eastAsia="zh-CN"/>
        </w:rPr>
        <w:t>FXZB-2024071</w:t>
      </w:r>
      <w:r>
        <w:rPr>
          <w:rFonts w:hint="eastAsia" w:ascii="宋体" w:hAnsi="宋体" w:cs="宋体"/>
          <w:color w:val="auto"/>
          <w:kern w:val="0"/>
          <w:sz w:val="24"/>
          <w:highlight w:val="none"/>
        </w:rPr>
        <w:t>。</w:t>
      </w:r>
    </w:p>
    <w:p w14:paraId="4C28CB5E">
      <w:pPr>
        <w:shd w:val="clear" w:color="auto" w:fill="auto"/>
        <w:spacing w:before="75" w:line="400" w:lineRule="atLeast"/>
        <w:ind w:firstLine="48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最高限价</w:t>
      </w:r>
      <w:r>
        <w:rPr>
          <w:rFonts w:hint="eastAsia" w:ascii="宋体" w:hAnsi="宋体" w:cs="宋体"/>
          <w:color w:val="auto"/>
          <w:kern w:val="0"/>
          <w:sz w:val="24"/>
          <w:highlight w:val="none"/>
        </w:rPr>
        <w:t>：详见《招标标的一览表》。</w:t>
      </w:r>
    </w:p>
    <w:p w14:paraId="4BFE61D2">
      <w:pPr>
        <w:shd w:val="clear" w:color="auto" w:fill="auto"/>
        <w:spacing w:before="75" w:line="400" w:lineRule="atLeast"/>
        <w:ind w:firstLine="480"/>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、招标内容及要求：详见《招标标的一览表》及招标文件第</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章。</w:t>
      </w:r>
    </w:p>
    <w:p w14:paraId="211ACBE4">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公开招标文件时间及地点：</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w:t>
      </w:r>
      <w:r>
        <w:rPr>
          <w:rFonts w:hint="eastAsia" w:ascii="宋体" w:hAnsi="宋体" w:cs="宋体"/>
          <w:color w:val="auto"/>
          <w:kern w:val="0"/>
          <w:sz w:val="24"/>
          <w:highlight w:val="none"/>
        </w:rPr>
        <w:t>起至</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w:t>
      </w:r>
      <w:r>
        <w:rPr>
          <w:rFonts w:ascii="宋体" w:cs="宋体"/>
          <w:color w:val="auto"/>
          <w:kern w:val="0"/>
          <w:sz w:val="24"/>
          <w:highlight w:val="none"/>
        </w:rPr>
        <w:t>,</w:t>
      </w:r>
      <w:r>
        <w:rPr>
          <w:rFonts w:hint="eastAsia" w:ascii="宋体" w:hAnsi="宋体" w:cs="宋体"/>
          <w:color w:val="auto"/>
          <w:kern w:val="0"/>
          <w:sz w:val="24"/>
          <w:highlight w:val="none"/>
        </w:rPr>
        <w:t>每天</w:t>
      </w:r>
      <w:r>
        <w:rPr>
          <w:rFonts w:ascii="宋体" w:hAnsi="宋体" w:cs="宋体"/>
          <w:color w:val="auto"/>
          <w:kern w:val="0"/>
          <w:sz w:val="24"/>
          <w:highlight w:val="none"/>
        </w:rPr>
        <w:t>8</w:t>
      </w:r>
      <w:r>
        <w:rPr>
          <w:rFonts w:hint="eastAsia" w:ascii="宋体" w:hAnsi="宋体" w:cs="宋体"/>
          <w:color w:val="auto"/>
          <w:kern w:val="0"/>
          <w:sz w:val="24"/>
          <w:highlight w:val="none"/>
        </w:rPr>
        <w:t>：</w:t>
      </w:r>
      <w:r>
        <w:rPr>
          <w:rFonts w:ascii="宋体" w:hAnsi="宋体" w:cs="宋体"/>
          <w:color w:val="auto"/>
          <w:kern w:val="0"/>
          <w:sz w:val="24"/>
          <w:highlight w:val="none"/>
        </w:rPr>
        <w:t>30-12</w:t>
      </w:r>
      <w:r>
        <w:rPr>
          <w:rFonts w:hint="eastAsia" w:ascii="宋体" w:hAnsi="宋体" w:cs="宋体"/>
          <w:color w:val="auto"/>
          <w:kern w:val="0"/>
          <w:sz w:val="24"/>
          <w:highlight w:val="none"/>
        </w:rPr>
        <w:t>：</w:t>
      </w:r>
      <w:r>
        <w:rPr>
          <w:rFonts w:ascii="宋体" w:cs="宋体"/>
          <w:color w:val="auto"/>
          <w:kern w:val="0"/>
          <w:sz w:val="24"/>
          <w:highlight w:val="none"/>
        </w:rPr>
        <w:t>00</w:t>
      </w:r>
      <w:r>
        <w:rPr>
          <w:rFonts w:hint="eastAsia" w:ascii="宋体" w:hAnsi="宋体" w:cs="宋体"/>
          <w:color w:val="auto"/>
          <w:kern w:val="0"/>
          <w:sz w:val="24"/>
          <w:highlight w:val="none"/>
        </w:rPr>
        <w:t>，</w:t>
      </w:r>
      <w:r>
        <w:rPr>
          <w:rFonts w:ascii="宋体" w:hAnsi="宋体" w:cs="宋体"/>
          <w:color w:val="auto"/>
          <w:kern w:val="0"/>
          <w:sz w:val="24"/>
          <w:highlight w:val="none"/>
        </w:rPr>
        <w:t>14</w:t>
      </w:r>
      <w:r>
        <w:rPr>
          <w:rFonts w:hint="eastAsia" w:ascii="宋体" w:hAnsi="宋体" w:cs="宋体"/>
          <w:color w:val="auto"/>
          <w:kern w:val="0"/>
          <w:sz w:val="24"/>
          <w:highlight w:val="none"/>
        </w:rPr>
        <w:t>：</w:t>
      </w:r>
      <w:r>
        <w:rPr>
          <w:rFonts w:ascii="宋体" w:hAnsi="宋体" w:cs="宋体"/>
          <w:color w:val="auto"/>
          <w:kern w:val="0"/>
          <w:sz w:val="24"/>
          <w:highlight w:val="none"/>
        </w:rPr>
        <w:t>30-17</w:t>
      </w:r>
      <w:r>
        <w:rPr>
          <w:rFonts w:hint="eastAsia" w:ascii="宋体" w:hAnsi="宋体" w:cs="宋体"/>
          <w:color w:val="auto"/>
          <w:kern w:val="0"/>
          <w:sz w:val="24"/>
          <w:highlight w:val="none"/>
        </w:rPr>
        <w:t>：</w:t>
      </w:r>
      <w:r>
        <w:rPr>
          <w:rFonts w:hint="eastAsia" w:ascii="宋体" w:cs="宋体"/>
          <w:color w:val="auto"/>
          <w:kern w:val="0"/>
          <w:sz w:val="24"/>
          <w:highlight w:val="none"/>
          <w:lang w:val="en-US" w:eastAsia="zh-CN"/>
        </w:rPr>
        <w:t>3</w:t>
      </w:r>
      <w:r>
        <w:rPr>
          <w:rFonts w:ascii="宋体" w:cs="宋体"/>
          <w:color w:val="auto"/>
          <w:kern w:val="0"/>
          <w:sz w:val="24"/>
          <w:highlight w:val="none"/>
        </w:rPr>
        <w:t>0</w:t>
      </w:r>
      <w:r>
        <w:rPr>
          <w:rFonts w:hint="eastAsia" w:ascii="宋体" w:hAnsi="宋体" w:cs="宋体"/>
          <w:color w:val="auto"/>
          <w:kern w:val="0"/>
          <w:sz w:val="24"/>
          <w:highlight w:val="none"/>
        </w:rPr>
        <w:t>（公休日、节假日除外）；</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公开招标文件地点：福建方兴招标代理有限公司（地址：福州市鼓楼区鼓屏路</w:t>
      </w:r>
      <w:r>
        <w:rPr>
          <w:rFonts w:ascii="宋体" w:hAnsi="宋体" w:cs="宋体"/>
          <w:color w:val="auto"/>
          <w:kern w:val="0"/>
          <w:sz w:val="24"/>
          <w:highlight w:val="none"/>
        </w:rPr>
        <w:t>192</w:t>
      </w:r>
      <w:r>
        <w:rPr>
          <w:rFonts w:hint="eastAsia" w:ascii="宋体" w:hAnsi="宋体" w:cs="宋体"/>
          <w:color w:val="auto"/>
          <w:kern w:val="0"/>
          <w:sz w:val="24"/>
          <w:highlight w:val="none"/>
        </w:rPr>
        <w:t>号山海大厦南楼</w:t>
      </w:r>
      <w:r>
        <w:rPr>
          <w:rFonts w:ascii="宋体" w:hAnsi="宋体" w:cs="宋体"/>
          <w:color w:val="auto"/>
          <w:kern w:val="0"/>
          <w:sz w:val="24"/>
          <w:highlight w:val="none"/>
        </w:rPr>
        <w:t>11</w:t>
      </w:r>
      <w:r>
        <w:rPr>
          <w:rFonts w:hint="eastAsia" w:ascii="宋体" w:hAnsi="宋体" w:cs="宋体"/>
          <w:color w:val="auto"/>
          <w:kern w:val="0"/>
          <w:sz w:val="24"/>
          <w:highlight w:val="none"/>
        </w:rPr>
        <w:t>层）。</w:t>
      </w:r>
    </w:p>
    <w:p w14:paraId="6CE45938">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5、公开招标文件或电子文档售价：</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元。未</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公开招标文件者的投标将被拒绝。</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）现场获取：</w:t>
      </w:r>
      <w:r>
        <w:rPr>
          <w:rFonts w:hint="eastAsia" w:ascii="宋体" w:hAnsi="宋体" w:cs="宋体"/>
          <w:color w:val="auto"/>
          <w:kern w:val="0"/>
          <w:sz w:val="24"/>
          <w:highlight w:val="none"/>
        </w:rPr>
        <w:t>供应商可直接到福建方兴招标代理有限公司</w:t>
      </w:r>
      <w:r>
        <w:rPr>
          <w:rFonts w:hint="eastAsia" w:ascii="宋体" w:hAnsi="宋体" w:cs="宋体"/>
          <w:color w:val="auto"/>
          <w:kern w:val="0"/>
          <w:sz w:val="24"/>
          <w:highlight w:val="none"/>
          <w:lang w:eastAsia="zh-CN"/>
        </w:rPr>
        <w:t>获取</w:t>
      </w:r>
      <w:r>
        <w:rPr>
          <w:rFonts w:hint="eastAsia" w:ascii="宋体" w:hAnsi="宋体" w:cs="宋体"/>
          <w:color w:val="auto"/>
          <w:kern w:val="0"/>
          <w:sz w:val="24"/>
          <w:highlight w:val="none"/>
        </w:rPr>
        <w:t>公开招标文件</w:t>
      </w:r>
      <w:r>
        <w:rPr>
          <w:rFonts w:hint="eastAsia" w:ascii="宋体" w:hAnsi="宋体" w:cs="宋体"/>
          <w:color w:val="auto"/>
          <w:kern w:val="0"/>
          <w:sz w:val="24"/>
          <w:highlight w:val="none"/>
          <w:lang w:eastAsia="zh-CN"/>
        </w:rPr>
        <w:t>（携带营业执照复印件、介绍信、身份证复印件、保密承诺书并加盖供应商公章）。（</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）邮箱获取：</w:t>
      </w:r>
      <w:r>
        <w:rPr>
          <w:rFonts w:hint="eastAsia" w:ascii="宋体" w:hAnsi="宋体" w:cs="宋体"/>
          <w:color w:val="auto"/>
          <w:kern w:val="0"/>
          <w:sz w:val="24"/>
          <w:highlight w:val="none"/>
        </w:rPr>
        <w:t>以对公转账汇款，但须在汇款凭证中注明本项目的项目编号或项目名称，同时将</w:t>
      </w:r>
      <w:r>
        <w:rPr>
          <w:rFonts w:hint="eastAsia" w:ascii="宋体" w:hAnsi="宋体" w:cs="宋体"/>
          <w:color w:val="auto"/>
          <w:kern w:val="0"/>
          <w:sz w:val="24"/>
          <w:highlight w:val="none"/>
          <w:lang w:eastAsia="zh-CN"/>
        </w:rPr>
        <w:t>营业执照复印件、介绍信、身份证复印件、保密承诺书并加盖供应商公章的扫描件、</w:t>
      </w:r>
      <w:r>
        <w:rPr>
          <w:rFonts w:hint="eastAsia" w:ascii="宋体" w:hAnsi="宋体" w:cs="宋体"/>
          <w:color w:val="auto"/>
          <w:kern w:val="0"/>
          <w:sz w:val="24"/>
          <w:highlight w:val="none"/>
        </w:rPr>
        <w:t>供应商单位名称、联系人、联系电话以电子邮件形式发送给招标公司</w:t>
      </w:r>
      <w:r>
        <w:rPr>
          <w:rFonts w:hint="eastAsia" w:ascii="宋体" w:hAnsi="宋体" w:cs="宋体"/>
          <w:color w:val="auto"/>
          <w:kern w:val="0"/>
          <w:sz w:val="24"/>
          <w:highlight w:val="none"/>
          <w:lang w:eastAsia="zh-CN"/>
        </w:rPr>
        <w:t>邮箱</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fxzb</w:t>
      </w:r>
      <w:r>
        <w:rPr>
          <w:rFonts w:hint="eastAsia" w:ascii="宋体" w:hAnsi="宋体" w:cs="宋体"/>
          <w:color w:val="auto"/>
          <w:kern w:val="0"/>
          <w:sz w:val="24"/>
          <w:highlight w:val="none"/>
        </w:rPr>
        <w:t>178@163.com），以便确认相应项目的报名登记并为供应商办理后续公开招标文件发送事宜</w:t>
      </w:r>
      <w:r>
        <w:rPr>
          <w:rFonts w:hint="eastAsia" w:ascii="宋体" w:hAnsi="宋体" w:cs="宋体"/>
          <w:color w:val="auto"/>
          <w:kern w:val="0"/>
          <w:sz w:val="24"/>
          <w:highlight w:val="none"/>
          <w:lang w:eastAsia="zh-CN"/>
        </w:rPr>
        <w:t>，邮箱获取公开招标文件时间以招标公司邮箱收件时间为准</w:t>
      </w:r>
      <w:r>
        <w:rPr>
          <w:rFonts w:hint="eastAsia" w:ascii="宋体" w:hAnsi="宋体" w:cs="宋体"/>
          <w:color w:val="auto"/>
          <w:kern w:val="0"/>
          <w:sz w:val="24"/>
          <w:highlight w:val="none"/>
        </w:rPr>
        <w:t>。</w:t>
      </w:r>
    </w:p>
    <w:p w14:paraId="37767880">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sz w:val="24"/>
          <w:szCs w:val="24"/>
          <w:highlight w:val="none"/>
        </w:rPr>
        <w:t>潜在投标人对招标文件有异议的，应当在投标截止时间10日之前以书面形式（有</w:t>
      </w:r>
      <w:r>
        <w:rPr>
          <w:rFonts w:hint="eastAsia" w:ascii="宋体" w:hAnsi="宋体" w:cs="宋体"/>
          <w:color w:val="auto"/>
          <w:spacing w:val="-6"/>
          <w:sz w:val="24"/>
          <w:szCs w:val="24"/>
          <w:highlight w:val="none"/>
        </w:rPr>
        <w:t>效签署的原件并加盖公章）提交到福建方兴招标代理有限公司</w:t>
      </w:r>
      <w:r>
        <w:rPr>
          <w:rFonts w:hint="eastAsia" w:ascii="宋体" w:hAnsi="宋体" w:cs="宋体"/>
          <w:color w:val="auto"/>
          <w:sz w:val="24"/>
          <w:szCs w:val="24"/>
          <w:highlight w:val="none"/>
        </w:rPr>
        <w:t>。</w:t>
      </w:r>
    </w:p>
    <w:p w14:paraId="302CE816">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7、有关本项目招标的相关信息（包括公开招标文件若有修改）都将在中国招标投标公共服务平台（http://www.cebpubservice.com/）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福建省国资采购平台（https://ygcg.fjcqjy.com/）、招标代理机构网站（</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"http://www.fjfxzbdl.com/" \t "_blank"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http://www.fjfxzbdl.com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）上公布，请投标人随时关注相关网站，以免错漏重要信息。</w:t>
      </w:r>
    </w:p>
    <w:p w14:paraId="4221F8F8">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8、投标截止时间：</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（北京时间），投标人应在此之前将密封的投标文件送达福州市鼓楼区鼓屏路</w:t>
      </w:r>
      <w:r>
        <w:rPr>
          <w:rFonts w:ascii="宋体" w:hAnsi="宋体" w:cs="宋体"/>
          <w:color w:val="auto"/>
          <w:kern w:val="0"/>
          <w:sz w:val="24"/>
          <w:highlight w:val="none"/>
        </w:rPr>
        <w:t>192</w:t>
      </w:r>
      <w:r>
        <w:rPr>
          <w:rFonts w:hint="eastAsia" w:ascii="宋体" w:hAnsi="宋体" w:cs="宋体"/>
          <w:color w:val="auto"/>
          <w:kern w:val="0"/>
          <w:sz w:val="24"/>
          <w:highlight w:val="none"/>
        </w:rPr>
        <w:t>号山海大厦南楼</w:t>
      </w:r>
      <w:r>
        <w:rPr>
          <w:rFonts w:ascii="宋体" w:hAnsi="宋体" w:cs="宋体"/>
          <w:color w:val="auto"/>
          <w:kern w:val="0"/>
          <w:sz w:val="24"/>
          <w:highlight w:val="none"/>
        </w:rPr>
        <w:t>11</w:t>
      </w:r>
      <w:r>
        <w:rPr>
          <w:rFonts w:hint="eastAsia" w:ascii="宋体" w:hAnsi="宋体" w:cs="宋体"/>
          <w:color w:val="auto"/>
          <w:kern w:val="0"/>
          <w:sz w:val="24"/>
          <w:highlight w:val="none"/>
        </w:rPr>
        <w:t>层，逾期送达的或不符合规定的投标文件将被拒绝接受。</w:t>
      </w:r>
    </w:p>
    <w:p w14:paraId="14EAEC72">
      <w:pPr>
        <w:shd w:val="clear" w:color="auto" w:fill="auto"/>
        <w:spacing w:line="400" w:lineRule="atLeast"/>
        <w:ind w:firstLine="480" w:firstLineChars="200"/>
        <w:rPr>
          <w:rFonts w:ascii="宋体" w:cs="宋体"/>
          <w:color w:val="auto"/>
          <w:kern w:val="0"/>
          <w:sz w:val="24"/>
          <w:highlight w:val="none"/>
        </w:rPr>
      </w:pPr>
      <w:r>
        <w:rPr>
          <w:rFonts w:hint="eastAsia" w:ascii="宋体" w:hAnsi="宋体" w:cs="宋体"/>
          <w:color w:val="auto"/>
          <w:kern w:val="0"/>
          <w:sz w:val="24"/>
          <w:highlight w:val="none"/>
        </w:rPr>
        <w:t>9、开标时间及地点：</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（北京时间），开标地点</w:t>
      </w:r>
      <w:r>
        <w:rPr>
          <w:rFonts w:ascii="宋体" w:hAnsi="宋体" w:cs="宋体"/>
          <w:color w:val="auto"/>
          <w:kern w:val="0"/>
          <w:sz w:val="24"/>
          <w:highlight w:val="none"/>
        </w:rPr>
        <w:t>:</w:t>
      </w:r>
      <w:r>
        <w:rPr>
          <w:rFonts w:hint="eastAsia" w:ascii="宋体" w:hAnsi="宋体" w:cs="宋体"/>
          <w:color w:val="auto"/>
          <w:kern w:val="0"/>
          <w:sz w:val="24"/>
          <w:highlight w:val="none"/>
        </w:rPr>
        <w:t>福州市鼓楼区鼓屏路</w:t>
      </w:r>
      <w:r>
        <w:rPr>
          <w:rFonts w:ascii="宋体" w:hAnsi="宋体" w:cs="宋体"/>
          <w:color w:val="auto"/>
          <w:kern w:val="0"/>
          <w:sz w:val="24"/>
          <w:highlight w:val="none"/>
        </w:rPr>
        <w:t>192</w:t>
      </w:r>
      <w:r>
        <w:rPr>
          <w:rFonts w:hint="eastAsia" w:ascii="宋体" w:hAnsi="宋体" w:cs="宋体"/>
          <w:color w:val="auto"/>
          <w:kern w:val="0"/>
          <w:sz w:val="24"/>
          <w:highlight w:val="none"/>
        </w:rPr>
        <w:t>号山海大厦南楼</w:t>
      </w:r>
      <w:r>
        <w:rPr>
          <w:rFonts w:ascii="宋体" w:hAnsi="宋体" w:cs="宋体"/>
          <w:color w:val="auto"/>
          <w:kern w:val="0"/>
          <w:sz w:val="24"/>
          <w:highlight w:val="none"/>
        </w:rPr>
        <w:t>11</w:t>
      </w:r>
      <w:r>
        <w:rPr>
          <w:rFonts w:hint="eastAsia" w:ascii="宋体" w:hAnsi="宋体" w:cs="宋体"/>
          <w:color w:val="auto"/>
          <w:kern w:val="0"/>
          <w:sz w:val="24"/>
          <w:highlight w:val="none"/>
        </w:rPr>
        <w:t>层。</w:t>
      </w:r>
    </w:p>
    <w:p w14:paraId="27AE4AA8">
      <w:pPr>
        <w:shd w:val="clear" w:color="auto" w:fill="auto"/>
        <w:spacing w:line="400" w:lineRule="atLeast"/>
        <w:ind w:firstLine="480" w:firstLineChars="200"/>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10、招标人：</w:t>
      </w:r>
      <w:r>
        <w:rPr>
          <w:rFonts w:hint="eastAsia" w:ascii="宋体" w:hAnsi="宋体" w:cs="宋体"/>
          <w:color w:val="auto"/>
          <w:kern w:val="0"/>
          <w:sz w:val="24"/>
          <w:highlight w:val="none"/>
          <w:lang w:eastAsia="zh-CN"/>
        </w:rPr>
        <w:t>景弘集团有限公司</w:t>
      </w:r>
    </w:p>
    <w:p w14:paraId="76F40862">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 xml:space="preserve">地址：福州市鼓楼区杨桥中路146号  </w:t>
      </w:r>
    </w:p>
    <w:p w14:paraId="01D2DC76">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联系人：林警官</w:t>
      </w:r>
    </w:p>
    <w:p w14:paraId="44C0B2BC">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联系电话：0591-87020809</w:t>
      </w:r>
    </w:p>
    <w:p w14:paraId="132FEF92">
      <w:pPr>
        <w:shd w:val="clear" w:color="auto" w:fill="auto"/>
        <w:spacing w:line="400" w:lineRule="atLeast"/>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1、招标代理机构：福建方兴招标代理有限公司</w:t>
      </w:r>
    </w:p>
    <w:p w14:paraId="3E572D09">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地址：福州市鼓楼区鼓屏路192号山海大厦南楼11层</w:t>
      </w:r>
    </w:p>
    <w:p w14:paraId="3C967F8B">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联系人：刘滢、陈怡、肖榕</w:t>
      </w:r>
    </w:p>
    <w:p w14:paraId="7948ED1D">
      <w:pPr>
        <w:shd w:val="clear" w:color="auto" w:fill="auto"/>
        <w:spacing w:line="400" w:lineRule="atLeast"/>
        <w:ind w:firstLine="480" w:firstLineChars="20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联系电话：0591-87278232</w:t>
      </w:r>
    </w:p>
    <w:p w14:paraId="0FBAFA00">
      <w:pPr>
        <w:shd w:val="clear" w:color="auto" w:fill="auto"/>
        <w:spacing w:line="400" w:lineRule="atLeast"/>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2、福建方兴招标代理有限公司账户：</w:t>
      </w:r>
    </w:p>
    <w:tbl>
      <w:tblPr>
        <w:tblStyle w:val="26"/>
        <w:tblW w:w="0" w:type="auto"/>
        <w:jc w:val="center"/>
        <w:tblLayout w:type="fixed"/>
        <w:tblCellMar>
          <w:top w:w="15" w:type="dxa"/>
          <w:left w:w="15" w:type="dxa"/>
          <w:bottom w:w="15" w:type="dxa"/>
          <w:right w:w="15" w:type="dxa"/>
        </w:tblCellMar>
      </w:tblPr>
      <w:tblGrid>
        <w:gridCol w:w="2894"/>
        <w:gridCol w:w="5945"/>
      </w:tblGrid>
      <w:tr w14:paraId="60871491">
        <w:tblPrEx>
          <w:tblCellMar>
            <w:top w:w="15" w:type="dxa"/>
            <w:left w:w="15" w:type="dxa"/>
            <w:bottom w:w="15" w:type="dxa"/>
            <w:right w:w="15" w:type="dxa"/>
          </w:tblCellMar>
        </w:tblPrEx>
        <w:trPr>
          <w:trHeight w:val="544" w:hRule="exact"/>
          <w:jc w:val="center"/>
        </w:trPr>
        <w:tc>
          <w:tcPr>
            <w:tcW w:w="2894"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56C916A">
            <w:pPr>
              <w:shd w:val="clear" w:color="auto" w:fill="auto"/>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投标保证金专用账户</w:t>
            </w: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12AC956">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开户名称：福建方兴招标代理有限公司</w:t>
            </w:r>
          </w:p>
        </w:tc>
      </w:tr>
      <w:tr w14:paraId="48371AC5">
        <w:tblPrEx>
          <w:tblCellMar>
            <w:top w:w="15" w:type="dxa"/>
            <w:left w:w="15" w:type="dxa"/>
            <w:bottom w:w="15" w:type="dxa"/>
            <w:right w:w="15" w:type="dxa"/>
          </w:tblCellMar>
        </w:tblPrEx>
        <w:trPr>
          <w:trHeight w:val="568"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1F746752">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BE0A43">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开户银行：中国农业银行福州鼓屏支行</w:t>
            </w:r>
          </w:p>
        </w:tc>
      </w:tr>
      <w:tr w14:paraId="1E3500FB">
        <w:tblPrEx>
          <w:tblCellMar>
            <w:top w:w="15" w:type="dxa"/>
            <w:left w:w="15" w:type="dxa"/>
            <w:bottom w:w="15" w:type="dxa"/>
            <w:right w:w="15" w:type="dxa"/>
          </w:tblCellMar>
        </w:tblPrEx>
        <w:trPr>
          <w:trHeight w:val="568"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091BC7">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69AFA9">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账号：</w:t>
            </w:r>
            <w:r>
              <w:rPr>
                <w:rFonts w:ascii="宋体" w:hAnsi="宋体" w:cs="宋体"/>
                <w:color w:val="auto"/>
                <w:kern w:val="0"/>
                <w:sz w:val="24"/>
                <w:highlight w:val="none"/>
              </w:rPr>
              <w:t>1300 3101 0400 15896</w:t>
            </w:r>
          </w:p>
        </w:tc>
      </w:tr>
      <w:tr w14:paraId="06924866">
        <w:tblPrEx>
          <w:tblCellMar>
            <w:top w:w="15" w:type="dxa"/>
            <w:left w:w="15" w:type="dxa"/>
            <w:bottom w:w="15" w:type="dxa"/>
            <w:right w:w="15" w:type="dxa"/>
          </w:tblCellMar>
        </w:tblPrEx>
        <w:trPr>
          <w:trHeight w:val="544" w:hRule="exact"/>
          <w:jc w:val="center"/>
        </w:trPr>
        <w:tc>
          <w:tcPr>
            <w:tcW w:w="2894"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F6451D">
            <w:pPr>
              <w:shd w:val="clear" w:color="auto" w:fill="auto"/>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招标服务费账户</w:t>
            </w: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01CDD32">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开户名称：福建方兴招标代理有限公司</w:t>
            </w:r>
          </w:p>
        </w:tc>
      </w:tr>
      <w:tr w14:paraId="70A70993">
        <w:tblPrEx>
          <w:tblCellMar>
            <w:top w:w="15" w:type="dxa"/>
            <w:left w:w="15" w:type="dxa"/>
            <w:bottom w:w="15" w:type="dxa"/>
            <w:right w:w="15" w:type="dxa"/>
          </w:tblCellMar>
        </w:tblPrEx>
        <w:trPr>
          <w:trHeight w:val="568"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035E5B81">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5FCC5B0">
            <w:pPr>
              <w:shd w:val="clear" w:color="auto" w:fill="auto"/>
              <w:spacing w:line="360" w:lineRule="auto"/>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lang w:eastAsia="zh-CN"/>
              </w:rPr>
              <w:t>兴业银行股份有限公司福州总行大厦营业部</w:t>
            </w:r>
          </w:p>
        </w:tc>
      </w:tr>
      <w:tr w14:paraId="0EECAC3F">
        <w:tblPrEx>
          <w:tblCellMar>
            <w:top w:w="15" w:type="dxa"/>
            <w:left w:w="15" w:type="dxa"/>
            <w:bottom w:w="15" w:type="dxa"/>
            <w:right w:w="15" w:type="dxa"/>
          </w:tblCellMar>
        </w:tblPrEx>
        <w:trPr>
          <w:trHeight w:val="592" w:hRule="exact"/>
          <w:jc w:val="center"/>
        </w:trPr>
        <w:tc>
          <w:tcPr>
            <w:tcW w:w="2894"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5F1BC7">
            <w:pPr>
              <w:shd w:val="clear" w:color="auto" w:fill="auto"/>
              <w:spacing w:line="360" w:lineRule="auto"/>
              <w:jc w:val="left"/>
              <w:rPr>
                <w:rFonts w:ascii="宋体" w:cs="宋体"/>
                <w:color w:val="auto"/>
                <w:kern w:val="0"/>
                <w:sz w:val="24"/>
                <w:highlight w:val="none"/>
              </w:rPr>
            </w:pPr>
          </w:p>
        </w:tc>
        <w:tc>
          <w:tcPr>
            <w:tcW w:w="59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6C68C43">
            <w:pPr>
              <w:shd w:val="clear" w:color="auto" w:fill="auto"/>
              <w:spacing w:line="360" w:lineRule="auto"/>
              <w:rPr>
                <w:rFonts w:ascii="宋体" w:cs="宋体"/>
                <w:color w:val="auto"/>
                <w:kern w:val="0"/>
                <w:sz w:val="24"/>
                <w:highlight w:val="none"/>
              </w:rPr>
            </w:pPr>
            <w:r>
              <w:rPr>
                <w:rFonts w:hint="eastAsia" w:ascii="宋体" w:hAnsi="宋体" w:cs="宋体"/>
                <w:color w:val="auto"/>
                <w:kern w:val="0"/>
                <w:sz w:val="24"/>
                <w:highlight w:val="none"/>
              </w:rPr>
              <w:t>账号：</w:t>
            </w:r>
            <w:r>
              <w:rPr>
                <w:rFonts w:ascii="宋体" w:hAnsi="宋体" w:cs="宋体"/>
                <w:color w:val="auto"/>
                <w:kern w:val="0"/>
                <w:sz w:val="24"/>
                <w:highlight w:val="none"/>
              </w:rPr>
              <w:t>1170 1010 0100 0032 02</w:t>
            </w:r>
          </w:p>
        </w:tc>
      </w:tr>
    </w:tbl>
    <w:p w14:paraId="7B786D47">
      <w:pPr>
        <w:shd w:val="clear" w:color="auto" w:fill="auto"/>
        <w:spacing w:line="400" w:lineRule="exact"/>
        <w:jc w:val="left"/>
        <w:rPr>
          <w:rFonts w:ascii="宋体"/>
          <w:b/>
          <w:color w:val="auto"/>
          <w:sz w:val="24"/>
          <w:highlight w:val="none"/>
        </w:rPr>
      </w:pPr>
    </w:p>
    <w:p w14:paraId="6E26C678">
      <w:pPr>
        <w:shd w:val="clear" w:color="auto" w:fill="auto"/>
        <w:spacing w:line="400" w:lineRule="exact"/>
        <w:ind w:firstLine="482" w:firstLineChars="200"/>
        <w:jc w:val="left"/>
        <w:rPr>
          <w:rFonts w:hint="eastAsia" w:ascii="宋体" w:hAnsi="宋体"/>
          <w:b/>
          <w:color w:val="auto"/>
          <w:sz w:val="24"/>
          <w:highlight w:val="none"/>
        </w:rPr>
      </w:pPr>
    </w:p>
    <w:p w14:paraId="3EE1E0E9">
      <w:pPr>
        <w:shd w:val="clear" w:color="auto" w:fill="auto"/>
        <w:spacing w:line="400" w:lineRule="exact"/>
        <w:ind w:firstLine="482" w:firstLineChars="200"/>
        <w:jc w:val="left"/>
        <w:rPr>
          <w:rFonts w:hint="eastAsia" w:ascii="宋体" w:hAnsi="宋体"/>
          <w:b/>
          <w:color w:val="auto"/>
          <w:sz w:val="24"/>
          <w:highlight w:val="none"/>
        </w:rPr>
      </w:pPr>
    </w:p>
    <w:p w14:paraId="0A7FB4C1">
      <w:pPr>
        <w:shd w:val="clear" w:color="auto" w:fill="auto"/>
        <w:spacing w:line="400" w:lineRule="exact"/>
        <w:ind w:firstLine="482" w:firstLineChars="200"/>
        <w:jc w:val="left"/>
        <w:rPr>
          <w:rFonts w:hint="eastAsia" w:ascii="宋体" w:hAnsi="宋体"/>
          <w:b/>
          <w:color w:val="auto"/>
          <w:sz w:val="24"/>
          <w:highlight w:val="none"/>
        </w:rPr>
      </w:pPr>
    </w:p>
    <w:p w14:paraId="69E86558">
      <w:pPr>
        <w:shd w:val="clear" w:color="auto" w:fill="auto"/>
        <w:spacing w:line="400" w:lineRule="exact"/>
        <w:ind w:firstLine="482" w:firstLineChars="200"/>
        <w:jc w:val="left"/>
        <w:rPr>
          <w:rFonts w:hint="eastAsia" w:ascii="宋体" w:hAnsi="宋体"/>
          <w:b/>
          <w:color w:val="auto"/>
          <w:sz w:val="24"/>
          <w:highlight w:val="none"/>
        </w:rPr>
      </w:pPr>
    </w:p>
    <w:p w14:paraId="72574B90">
      <w:pPr>
        <w:shd w:val="clear" w:color="auto" w:fill="auto"/>
        <w:spacing w:line="400" w:lineRule="exact"/>
        <w:ind w:firstLine="482" w:firstLineChars="200"/>
        <w:jc w:val="left"/>
        <w:rPr>
          <w:rFonts w:hint="eastAsia" w:ascii="宋体" w:hAnsi="宋体"/>
          <w:b/>
          <w:color w:val="auto"/>
          <w:sz w:val="24"/>
          <w:highlight w:val="none"/>
        </w:rPr>
      </w:pPr>
    </w:p>
    <w:p w14:paraId="060A8F3B">
      <w:pPr>
        <w:shd w:val="clear" w:color="auto" w:fill="auto"/>
        <w:spacing w:line="400" w:lineRule="exact"/>
        <w:ind w:firstLine="482" w:firstLineChars="200"/>
        <w:jc w:val="left"/>
        <w:rPr>
          <w:rFonts w:hint="eastAsia" w:ascii="宋体" w:hAnsi="宋体"/>
          <w:b/>
          <w:color w:val="auto"/>
          <w:sz w:val="24"/>
          <w:highlight w:val="none"/>
        </w:rPr>
      </w:pPr>
    </w:p>
    <w:p w14:paraId="28B12B8C">
      <w:pPr>
        <w:shd w:val="clear" w:color="auto" w:fill="auto"/>
        <w:spacing w:line="400" w:lineRule="exact"/>
        <w:ind w:firstLine="482" w:firstLineChars="200"/>
        <w:jc w:val="left"/>
        <w:rPr>
          <w:rFonts w:hint="eastAsia" w:ascii="宋体" w:hAnsi="宋体"/>
          <w:b/>
          <w:color w:val="auto"/>
          <w:sz w:val="24"/>
          <w:highlight w:val="none"/>
        </w:rPr>
      </w:pPr>
    </w:p>
    <w:p w14:paraId="656982AC">
      <w:pPr>
        <w:shd w:val="clear" w:color="auto" w:fill="auto"/>
        <w:spacing w:line="400" w:lineRule="exact"/>
        <w:ind w:firstLine="482" w:firstLineChars="200"/>
        <w:jc w:val="left"/>
        <w:rPr>
          <w:rFonts w:hint="eastAsia" w:ascii="宋体" w:hAnsi="宋体"/>
          <w:b/>
          <w:color w:val="auto"/>
          <w:sz w:val="24"/>
          <w:highlight w:val="none"/>
        </w:rPr>
      </w:pPr>
    </w:p>
    <w:p w14:paraId="19B308A0">
      <w:pPr>
        <w:shd w:val="clear" w:color="auto" w:fill="auto"/>
        <w:spacing w:line="400" w:lineRule="exact"/>
        <w:ind w:firstLine="482" w:firstLineChars="200"/>
        <w:jc w:val="left"/>
        <w:rPr>
          <w:rFonts w:hint="eastAsia" w:ascii="宋体" w:hAnsi="宋体"/>
          <w:b/>
          <w:color w:val="auto"/>
          <w:sz w:val="24"/>
          <w:highlight w:val="none"/>
        </w:rPr>
      </w:pPr>
    </w:p>
    <w:p w14:paraId="37ED94F1">
      <w:pPr>
        <w:shd w:val="clear" w:color="auto" w:fill="auto"/>
        <w:spacing w:line="400" w:lineRule="exact"/>
        <w:ind w:firstLine="482" w:firstLineChars="200"/>
        <w:jc w:val="left"/>
        <w:rPr>
          <w:rFonts w:hint="eastAsia" w:ascii="宋体" w:hAnsi="宋体"/>
          <w:b/>
          <w:color w:val="auto"/>
          <w:sz w:val="24"/>
          <w:highlight w:val="none"/>
        </w:rPr>
      </w:pPr>
    </w:p>
    <w:p w14:paraId="1BF032E9">
      <w:pPr>
        <w:shd w:val="clear" w:color="auto" w:fill="auto"/>
        <w:spacing w:line="400" w:lineRule="exact"/>
        <w:ind w:firstLine="482" w:firstLineChars="200"/>
        <w:jc w:val="left"/>
        <w:rPr>
          <w:rFonts w:hint="eastAsia" w:ascii="宋体" w:hAnsi="宋体"/>
          <w:b/>
          <w:color w:val="auto"/>
          <w:sz w:val="24"/>
          <w:highlight w:val="none"/>
        </w:rPr>
      </w:pPr>
    </w:p>
    <w:p w14:paraId="09884AEC">
      <w:pPr>
        <w:shd w:val="clear" w:color="auto" w:fill="auto"/>
        <w:spacing w:line="400" w:lineRule="exact"/>
        <w:ind w:firstLine="482" w:firstLineChars="200"/>
        <w:jc w:val="left"/>
        <w:rPr>
          <w:rFonts w:hint="eastAsia" w:ascii="宋体" w:hAnsi="宋体"/>
          <w:b/>
          <w:color w:val="auto"/>
          <w:sz w:val="24"/>
          <w:highlight w:val="none"/>
        </w:rPr>
      </w:pPr>
    </w:p>
    <w:p w14:paraId="68999A68">
      <w:pPr>
        <w:shd w:val="clear" w:color="auto" w:fill="auto"/>
        <w:spacing w:line="400" w:lineRule="exact"/>
        <w:ind w:firstLine="482" w:firstLineChars="200"/>
        <w:jc w:val="left"/>
        <w:rPr>
          <w:rFonts w:hint="eastAsia" w:ascii="宋体" w:hAnsi="宋体"/>
          <w:b/>
          <w:color w:val="auto"/>
          <w:sz w:val="24"/>
          <w:highlight w:val="none"/>
        </w:rPr>
      </w:pPr>
    </w:p>
    <w:p w14:paraId="2001638D">
      <w:pPr>
        <w:shd w:val="clear" w:color="auto" w:fill="auto"/>
        <w:spacing w:line="400" w:lineRule="exact"/>
        <w:ind w:firstLine="482" w:firstLineChars="200"/>
        <w:jc w:val="left"/>
        <w:rPr>
          <w:rFonts w:hint="eastAsia" w:ascii="宋体" w:hAnsi="宋体"/>
          <w:b/>
          <w:color w:val="auto"/>
          <w:sz w:val="24"/>
          <w:highlight w:val="none"/>
        </w:rPr>
      </w:pPr>
    </w:p>
    <w:p w14:paraId="0957E545">
      <w:pPr>
        <w:shd w:val="clear" w:color="auto" w:fill="auto"/>
        <w:spacing w:line="400" w:lineRule="exact"/>
        <w:ind w:firstLine="482" w:firstLineChars="200"/>
        <w:jc w:val="left"/>
        <w:rPr>
          <w:rFonts w:hint="eastAsia" w:ascii="宋体" w:hAnsi="宋体"/>
          <w:b/>
          <w:color w:val="auto"/>
          <w:sz w:val="24"/>
          <w:highlight w:val="none"/>
        </w:rPr>
      </w:pPr>
    </w:p>
    <w:p w14:paraId="1AC61546">
      <w:pPr>
        <w:shd w:val="clear" w:color="auto" w:fill="auto"/>
        <w:spacing w:line="400" w:lineRule="exact"/>
        <w:ind w:firstLine="482" w:firstLineChars="200"/>
        <w:jc w:val="left"/>
        <w:rPr>
          <w:rFonts w:hint="eastAsia" w:ascii="宋体" w:hAnsi="宋体"/>
          <w:b/>
          <w:color w:val="auto"/>
          <w:sz w:val="24"/>
          <w:highlight w:val="none"/>
        </w:rPr>
      </w:pPr>
    </w:p>
    <w:p w14:paraId="5C6DC25C">
      <w:pPr>
        <w:pStyle w:val="2"/>
        <w:rPr>
          <w:rFonts w:hint="eastAsia"/>
          <w:color w:val="auto"/>
          <w:highlight w:val="none"/>
        </w:rPr>
      </w:pPr>
    </w:p>
    <w:p w14:paraId="5729B1A9">
      <w:pPr>
        <w:shd w:val="clear" w:color="auto" w:fill="auto"/>
        <w:spacing w:line="400" w:lineRule="exact"/>
        <w:ind w:firstLine="482" w:firstLineChars="200"/>
        <w:jc w:val="left"/>
        <w:rPr>
          <w:rFonts w:hint="eastAsia" w:ascii="宋体" w:hAnsi="宋体"/>
          <w:b/>
          <w:color w:val="auto"/>
          <w:sz w:val="24"/>
          <w:highlight w:val="none"/>
        </w:rPr>
      </w:pPr>
    </w:p>
    <w:p w14:paraId="3BE7807F">
      <w:pPr>
        <w:pStyle w:val="4"/>
        <w:shd w:val="clear" w:color="auto" w:fill="auto"/>
        <w:bidi w:val="0"/>
        <w:jc w:val="both"/>
        <w:rPr>
          <w:color w:val="auto"/>
          <w:highlight w:val="none"/>
        </w:rPr>
      </w:pPr>
      <w:bookmarkStart w:id="1" w:name="_Toc21514"/>
      <w:r>
        <w:rPr>
          <w:rFonts w:hint="eastAsia"/>
          <w:color w:val="auto"/>
          <w:highlight w:val="none"/>
        </w:rPr>
        <w:t>附：招标标的一览表</w:t>
      </w:r>
      <w:bookmarkEnd w:id="1"/>
    </w:p>
    <w:p w14:paraId="0D3CDC45">
      <w:pPr>
        <w:widowControl/>
        <w:shd w:val="clear" w:color="auto" w:fill="auto"/>
        <w:spacing w:before="180" w:line="400" w:lineRule="atLeast"/>
        <w:ind w:firstLine="480"/>
        <w:jc w:val="right"/>
        <w:rPr>
          <w:rFonts w:hint="eastAsia" w:ascii="宋体" w:hAnsi="宋体" w:cs="宋体"/>
          <w:color w:val="auto"/>
          <w:kern w:val="0"/>
          <w:sz w:val="24"/>
          <w:highlight w:val="none"/>
        </w:rPr>
      </w:pPr>
    </w:p>
    <w:p w14:paraId="6AC03654">
      <w:pPr>
        <w:pageBreakBefore w:val="0"/>
        <w:widowControl/>
        <w:kinsoku/>
        <w:overflowPunct/>
        <w:topLinePunct w:val="0"/>
        <w:bidi w:val="0"/>
        <w:spacing w:line="48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金额单位：人民币元</w:t>
      </w:r>
    </w:p>
    <w:tbl>
      <w:tblPr>
        <w:tblStyle w:val="2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4"/>
        <w:gridCol w:w="811"/>
        <w:gridCol w:w="1350"/>
        <w:gridCol w:w="1159"/>
        <w:gridCol w:w="641"/>
        <w:gridCol w:w="954"/>
        <w:gridCol w:w="1459"/>
        <w:gridCol w:w="1364"/>
        <w:gridCol w:w="1293"/>
      </w:tblGrid>
      <w:tr w14:paraId="3443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jc w:val="center"/>
        </w:trPr>
        <w:tc>
          <w:tcPr>
            <w:tcW w:w="764" w:type="dxa"/>
            <w:noWrap w:val="0"/>
            <w:tcMar>
              <w:top w:w="0" w:type="dxa"/>
              <w:left w:w="0" w:type="dxa"/>
              <w:bottom w:w="0" w:type="dxa"/>
              <w:right w:w="0" w:type="dxa"/>
            </w:tcMar>
            <w:vAlign w:val="center"/>
          </w:tcPr>
          <w:p w14:paraId="3AA4C2CC">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合同包</w:t>
            </w:r>
          </w:p>
        </w:tc>
        <w:tc>
          <w:tcPr>
            <w:tcW w:w="811" w:type="dxa"/>
            <w:noWrap w:val="0"/>
            <w:tcMar>
              <w:top w:w="0" w:type="dxa"/>
              <w:left w:w="0" w:type="dxa"/>
              <w:bottom w:w="0" w:type="dxa"/>
              <w:right w:w="0" w:type="dxa"/>
            </w:tcMar>
            <w:vAlign w:val="center"/>
          </w:tcPr>
          <w:p w14:paraId="4917DD6C">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品目号</w:t>
            </w:r>
          </w:p>
        </w:tc>
        <w:tc>
          <w:tcPr>
            <w:tcW w:w="1350" w:type="dxa"/>
            <w:noWrap w:val="0"/>
            <w:tcMar>
              <w:top w:w="0" w:type="dxa"/>
              <w:left w:w="0" w:type="dxa"/>
              <w:bottom w:w="0" w:type="dxa"/>
              <w:right w:w="0" w:type="dxa"/>
            </w:tcMar>
            <w:vAlign w:val="center"/>
          </w:tcPr>
          <w:p w14:paraId="572BBD0C">
            <w:pPr>
              <w:pageBreakBefore w:val="0"/>
              <w:widowControl/>
              <w:kinsoku/>
              <w:overflowPunct/>
              <w:topLinePunct w:val="0"/>
              <w:bidi w:val="0"/>
              <w:spacing w:line="480" w:lineRule="exact"/>
              <w:jc w:val="center"/>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品目编码及品目名称</w:t>
            </w:r>
          </w:p>
        </w:tc>
        <w:tc>
          <w:tcPr>
            <w:tcW w:w="1159" w:type="dxa"/>
            <w:noWrap w:val="0"/>
            <w:tcMar>
              <w:top w:w="0" w:type="dxa"/>
              <w:left w:w="0" w:type="dxa"/>
              <w:bottom w:w="0" w:type="dxa"/>
              <w:right w:w="0" w:type="dxa"/>
            </w:tcMar>
            <w:vAlign w:val="center"/>
          </w:tcPr>
          <w:p w14:paraId="7554E8EA">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采购标的</w:t>
            </w:r>
          </w:p>
        </w:tc>
        <w:tc>
          <w:tcPr>
            <w:tcW w:w="641" w:type="dxa"/>
            <w:noWrap w:val="0"/>
            <w:tcMar>
              <w:top w:w="0" w:type="dxa"/>
              <w:left w:w="0" w:type="dxa"/>
              <w:bottom w:w="0" w:type="dxa"/>
              <w:right w:w="0" w:type="dxa"/>
            </w:tcMar>
            <w:vAlign w:val="center"/>
          </w:tcPr>
          <w:p w14:paraId="72645259">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允许进口</w:t>
            </w:r>
          </w:p>
        </w:tc>
        <w:tc>
          <w:tcPr>
            <w:tcW w:w="954" w:type="dxa"/>
            <w:noWrap w:val="0"/>
            <w:tcMar>
              <w:top w:w="0" w:type="dxa"/>
              <w:left w:w="0" w:type="dxa"/>
              <w:bottom w:w="0" w:type="dxa"/>
              <w:right w:w="0" w:type="dxa"/>
            </w:tcMar>
            <w:vAlign w:val="center"/>
          </w:tcPr>
          <w:p w14:paraId="0BF5586A">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1459" w:type="dxa"/>
            <w:noWrap w:val="0"/>
            <w:tcMar>
              <w:top w:w="0" w:type="dxa"/>
              <w:left w:w="0" w:type="dxa"/>
              <w:bottom w:w="0" w:type="dxa"/>
              <w:right w:w="0" w:type="dxa"/>
            </w:tcMar>
            <w:vAlign w:val="center"/>
          </w:tcPr>
          <w:p w14:paraId="49FFC80D">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品目号预算</w:t>
            </w:r>
          </w:p>
        </w:tc>
        <w:tc>
          <w:tcPr>
            <w:tcW w:w="1364" w:type="dxa"/>
            <w:noWrap w:val="0"/>
            <w:tcMar>
              <w:top w:w="0" w:type="dxa"/>
              <w:left w:w="0" w:type="dxa"/>
              <w:bottom w:w="0" w:type="dxa"/>
              <w:right w:w="0" w:type="dxa"/>
            </w:tcMar>
            <w:vAlign w:val="center"/>
          </w:tcPr>
          <w:p w14:paraId="6F0D7FAB">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合同包预算</w:t>
            </w:r>
          </w:p>
        </w:tc>
        <w:tc>
          <w:tcPr>
            <w:tcW w:w="1293" w:type="dxa"/>
            <w:noWrap w:val="0"/>
            <w:tcMar>
              <w:top w:w="0" w:type="dxa"/>
              <w:left w:w="0" w:type="dxa"/>
              <w:bottom w:w="0" w:type="dxa"/>
              <w:right w:w="0" w:type="dxa"/>
            </w:tcMar>
            <w:vAlign w:val="center"/>
          </w:tcPr>
          <w:p w14:paraId="1918B3C5">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w:t>
            </w:r>
          </w:p>
          <w:p w14:paraId="4D709956">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保证金</w:t>
            </w:r>
          </w:p>
        </w:tc>
      </w:tr>
      <w:tr w14:paraId="1E73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764" w:type="dxa"/>
            <w:noWrap w:val="0"/>
            <w:tcMar>
              <w:top w:w="0" w:type="dxa"/>
              <w:left w:w="0" w:type="dxa"/>
              <w:bottom w:w="0" w:type="dxa"/>
              <w:right w:w="0" w:type="dxa"/>
            </w:tcMar>
            <w:vAlign w:val="center"/>
          </w:tcPr>
          <w:p w14:paraId="29484692">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11" w:type="dxa"/>
            <w:noWrap w:val="0"/>
            <w:tcMar>
              <w:top w:w="0" w:type="dxa"/>
              <w:left w:w="0" w:type="dxa"/>
              <w:bottom w:w="0" w:type="dxa"/>
              <w:right w:w="0" w:type="dxa"/>
            </w:tcMar>
            <w:vAlign w:val="center"/>
          </w:tcPr>
          <w:p w14:paraId="27A3A066">
            <w:pPr>
              <w:widowControl/>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50" w:type="dxa"/>
            <w:noWrap w:val="0"/>
            <w:tcMar>
              <w:top w:w="0" w:type="dxa"/>
              <w:left w:w="0" w:type="dxa"/>
              <w:bottom w:w="0" w:type="dxa"/>
              <w:right w:w="0" w:type="dxa"/>
            </w:tcMar>
            <w:vAlign w:val="center"/>
          </w:tcPr>
          <w:p w14:paraId="4870E356">
            <w:pPr>
              <w:pageBreakBefore w:val="0"/>
              <w:widowControl/>
              <w:kinsoku/>
              <w:overflowPunct/>
              <w:topLinePunct w:val="0"/>
              <w:bidi w:val="0"/>
              <w:spacing w:line="48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C16010302行业应用软件开发服务</w:t>
            </w:r>
          </w:p>
        </w:tc>
        <w:tc>
          <w:tcPr>
            <w:tcW w:w="1159" w:type="dxa"/>
            <w:noWrap w:val="0"/>
            <w:tcMar>
              <w:top w:w="0" w:type="dxa"/>
              <w:left w:w="0" w:type="dxa"/>
              <w:bottom w:w="0" w:type="dxa"/>
              <w:right w:w="0" w:type="dxa"/>
            </w:tcMar>
            <w:vAlign w:val="center"/>
          </w:tcPr>
          <w:p w14:paraId="049AF8CD">
            <w:pPr>
              <w:widowControl/>
              <w:spacing w:line="360" w:lineRule="atLeast"/>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人事管理系统采购项目</w:t>
            </w:r>
          </w:p>
        </w:tc>
        <w:tc>
          <w:tcPr>
            <w:tcW w:w="641" w:type="dxa"/>
            <w:noWrap w:val="0"/>
            <w:tcMar>
              <w:top w:w="0" w:type="dxa"/>
              <w:left w:w="0" w:type="dxa"/>
              <w:bottom w:w="0" w:type="dxa"/>
              <w:right w:w="0" w:type="dxa"/>
            </w:tcMar>
            <w:vAlign w:val="center"/>
          </w:tcPr>
          <w:p w14:paraId="58357373">
            <w:pPr>
              <w:widowControl/>
              <w:spacing w:line="36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否</w:t>
            </w:r>
          </w:p>
        </w:tc>
        <w:tc>
          <w:tcPr>
            <w:tcW w:w="954" w:type="dxa"/>
            <w:noWrap w:val="0"/>
            <w:tcMar>
              <w:top w:w="0" w:type="dxa"/>
              <w:left w:w="0" w:type="dxa"/>
              <w:bottom w:w="0" w:type="dxa"/>
              <w:right w:w="0" w:type="dxa"/>
            </w:tcMar>
            <w:vAlign w:val="center"/>
          </w:tcPr>
          <w:p w14:paraId="574681B5">
            <w:pPr>
              <w:widowControl/>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1459" w:type="dxa"/>
            <w:noWrap w:val="0"/>
            <w:tcMar>
              <w:top w:w="0" w:type="dxa"/>
              <w:left w:w="0" w:type="dxa"/>
              <w:bottom w:w="0" w:type="dxa"/>
              <w:right w:w="0" w:type="dxa"/>
            </w:tcMar>
            <w:vAlign w:val="center"/>
          </w:tcPr>
          <w:p w14:paraId="73C2B428">
            <w:pPr>
              <w:widowControl/>
              <w:spacing w:line="360" w:lineRule="atLeas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2900000.00</w:t>
            </w:r>
          </w:p>
        </w:tc>
        <w:tc>
          <w:tcPr>
            <w:tcW w:w="1364" w:type="dxa"/>
            <w:noWrap w:val="0"/>
            <w:tcMar>
              <w:top w:w="0" w:type="dxa"/>
              <w:left w:w="0" w:type="dxa"/>
              <w:bottom w:w="0" w:type="dxa"/>
              <w:right w:w="0" w:type="dxa"/>
            </w:tcMar>
            <w:vAlign w:val="center"/>
          </w:tcPr>
          <w:p w14:paraId="1B9BE4F1">
            <w:pPr>
              <w:widowControl/>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2900000.00</w:t>
            </w:r>
          </w:p>
        </w:tc>
        <w:tc>
          <w:tcPr>
            <w:tcW w:w="1293" w:type="dxa"/>
            <w:noWrap w:val="0"/>
            <w:tcMar>
              <w:top w:w="0" w:type="dxa"/>
              <w:left w:w="0" w:type="dxa"/>
              <w:bottom w:w="0" w:type="dxa"/>
              <w:right w:w="0" w:type="dxa"/>
            </w:tcMar>
            <w:vAlign w:val="center"/>
          </w:tcPr>
          <w:p w14:paraId="034566D8">
            <w:pPr>
              <w:spacing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29000.00</w:t>
            </w:r>
          </w:p>
        </w:tc>
      </w:tr>
    </w:tbl>
    <w:p w14:paraId="185D4115">
      <w:pPr>
        <w:widowControl/>
        <w:shd w:val="clear" w:color="auto" w:fill="auto"/>
        <w:spacing w:line="440" w:lineRule="atLeast"/>
        <w:rPr>
          <w:rFonts w:hint="eastAsia" w:ascii="宋体" w:hAnsi="宋体" w:cs="宋体"/>
          <w:color w:val="auto"/>
          <w:kern w:val="0"/>
          <w:sz w:val="24"/>
          <w:highlight w:val="none"/>
        </w:rPr>
      </w:pPr>
    </w:p>
    <w:p w14:paraId="6C42DF91">
      <w:pPr>
        <w:widowControl/>
        <w:shd w:val="clear" w:color="auto" w:fill="auto"/>
        <w:spacing w:line="4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14:paraId="3D048169">
      <w:pPr>
        <w:widowControl/>
        <w:shd w:val="clear" w:color="auto" w:fill="auto"/>
        <w:spacing w:line="4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1、投标人对同一合同包内所有品目号内容投标时必须完整。评标与授标以合同包为单位。</w:t>
      </w:r>
    </w:p>
    <w:p w14:paraId="52D67525">
      <w:pPr>
        <w:widowControl/>
        <w:shd w:val="clear" w:color="auto" w:fill="auto"/>
        <w:spacing w:line="4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2、投标人不得转包他人，若发现转包，</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有权终止合同，并追究相应法律责任。</w:t>
      </w:r>
    </w:p>
    <w:p w14:paraId="20B50CB7">
      <w:pPr>
        <w:widowControl/>
        <w:shd w:val="clear" w:color="auto" w:fill="auto"/>
        <w:spacing w:line="440" w:lineRule="atLeast"/>
        <w:rPr>
          <w:rFonts w:hint="eastAsia" w:ascii="宋体" w:hAnsi="宋体" w:eastAsia="宋体" w:cs="宋体"/>
          <w:color w:val="auto"/>
          <w:kern w:val="0"/>
          <w:sz w:val="24"/>
          <w:highlight w:val="none"/>
          <w:lang w:eastAsia="zh-CN"/>
        </w:rPr>
      </w:pPr>
    </w:p>
    <w:p w14:paraId="6C4BFC2F">
      <w:pPr>
        <w:pStyle w:val="7"/>
        <w:shd w:val="clear" w:color="auto" w:fill="auto"/>
        <w:ind w:firstLine="480"/>
        <w:rPr>
          <w:rFonts w:hint="eastAsia" w:ascii="宋体" w:hAnsi="宋体" w:eastAsia="宋体" w:cs="宋体"/>
          <w:color w:val="auto"/>
          <w:kern w:val="0"/>
          <w:highlight w:val="none"/>
          <w:lang w:val="en-US" w:eastAsia="zh-CN"/>
        </w:rPr>
      </w:pPr>
    </w:p>
    <w:p w14:paraId="00200802">
      <w:pPr>
        <w:shd w:val="clear" w:color="auto" w:fill="auto"/>
        <w:spacing w:before="180" w:line="400" w:lineRule="exact"/>
        <w:ind w:firstLine="480"/>
        <w:jc w:val="right"/>
        <w:rPr>
          <w:rFonts w:ascii="宋体" w:cs="宋体"/>
          <w:color w:val="auto"/>
          <w:kern w:val="0"/>
          <w:szCs w:val="21"/>
          <w:highlight w:val="none"/>
        </w:rPr>
      </w:pPr>
    </w:p>
    <w:p w14:paraId="4A77334E">
      <w:pPr>
        <w:pStyle w:val="62"/>
        <w:shd w:val="clear" w:color="auto" w:fill="auto"/>
        <w:adjustRightInd w:val="0"/>
        <w:snapToGrid w:val="0"/>
        <w:spacing w:line="440" w:lineRule="exact"/>
        <w:ind w:firstLine="480"/>
        <w:rPr>
          <w:rFonts w:hint="eastAsia" w:ascii="宋体" w:cs="Times New Roman"/>
          <w:color w:val="auto"/>
          <w:sz w:val="24"/>
          <w:szCs w:val="24"/>
          <w:highlight w:val="none"/>
        </w:rPr>
      </w:pPr>
      <w:r>
        <w:rPr>
          <w:rFonts w:ascii="宋体" w:hAnsi="宋体" w:cs="宋体"/>
          <w:color w:val="auto"/>
          <w:kern w:val="0"/>
          <w:sz w:val="24"/>
          <w:highlight w:val="none"/>
        </w:rPr>
        <w:t xml:space="preserve">                                                              </w:t>
      </w:r>
    </w:p>
    <w:p w14:paraId="7D305DE5">
      <w:pPr>
        <w:shd w:val="clear" w:color="auto" w:fill="auto"/>
        <w:snapToGrid w:val="0"/>
        <w:spacing w:line="400" w:lineRule="exact"/>
        <w:rPr>
          <w:rStyle w:val="44"/>
          <w:rFonts w:hint="eastAsia" w:ascii="新宋体" w:hAnsi="新宋体" w:eastAsia="新宋体"/>
          <w:color w:val="auto"/>
          <w:sz w:val="20"/>
          <w:szCs w:val="21"/>
          <w:highlight w:val="none"/>
        </w:rPr>
      </w:pPr>
    </w:p>
    <w:p w14:paraId="39ABAD67">
      <w:pPr>
        <w:shd w:val="clear" w:color="auto" w:fill="auto"/>
        <w:snapToGrid w:val="0"/>
        <w:spacing w:line="620" w:lineRule="exact"/>
        <w:jc w:val="center"/>
        <w:rPr>
          <w:rStyle w:val="44"/>
          <w:rFonts w:ascii="新宋体" w:hAnsi="新宋体" w:eastAsia="新宋体"/>
          <w:b/>
          <w:color w:val="auto"/>
          <w:sz w:val="36"/>
          <w:szCs w:val="36"/>
          <w:highlight w:val="none"/>
        </w:rPr>
      </w:pPr>
    </w:p>
    <w:p w14:paraId="6836FAEB">
      <w:pPr>
        <w:shd w:val="clear" w:color="auto" w:fill="auto"/>
        <w:snapToGrid w:val="0"/>
        <w:spacing w:line="620" w:lineRule="exact"/>
        <w:jc w:val="center"/>
        <w:rPr>
          <w:rStyle w:val="44"/>
          <w:rFonts w:ascii="新宋体" w:hAnsi="新宋体" w:eastAsia="新宋体"/>
          <w:b/>
          <w:color w:val="auto"/>
          <w:sz w:val="36"/>
          <w:szCs w:val="36"/>
          <w:highlight w:val="none"/>
        </w:rPr>
      </w:pPr>
    </w:p>
    <w:p w14:paraId="044D1282">
      <w:pPr>
        <w:shd w:val="clear" w:color="auto" w:fill="auto"/>
        <w:snapToGrid w:val="0"/>
        <w:spacing w:line="620" w:lineRule="exact"/>
        <w:jc w:val="center"/>
        <w:rPr>
          <w:rStyle w:val="44"/>
          <w:rFonts w:ascii="新宋体" w:hAnsi="新宋体" w:eastAsia="新宋体"/>
          <w:b/>
          <w:color w:val="auto"/>
          <w:sz w:val="36"/>
          <w:szCs w:val="36"/>
          <w:highlight w:val="none"/>
        </w:rPr>
      </w:pPr>
    </w:p>
    <w:p w14:paraId="07626892">
      <w:pPr>
        <w:shd w:val="clear" w:color="auto" w:fill="auto"/>
        <w:snapToGrid w:val="0"/>
        <w:spacing w:line="620" w:lineRule="exact"/>
        <w:jc w:val="center"/>
        <w:rPr>
          <w:rStyle w:val="44"/>
          <w:rFonts w:ascii="新宋体" w:hAnsi="新宋体" w:eastAsia="新宋体"/>
          <w:b/>
          <w:color w:val="auto"/>
          <w:sz w:val="36"/>
          <w:szCs w:val="36"/>
          <w:highlight w:val="none"/>
        </w:rPr>
      </w:pPr>
    </w:p>
    <w:p w14:paraId="18AFB068">
      <w:pPr>
        <w:shd w:val="clear" w:color="auto" w:fill="auto"/>
        <w:snapToGrid w:val="0"/>
        <w:spacing w:line="620" w:lineRule="exact"/>
        <w:jc w:val="center"/>
        <w:rPr>
          <w:rStyle w:val="44"/>
          <w:rFonts w:ascii="新宋体" w:hAnsi="新宋体" w:eastAsia="新宋体"/>
          <w:b/>
          <w:color w:val="auto"/>
          <w:sz w:val="36"/>
          <w:szCs w:val="36"/>
          <w:highlight w:val="none"/>
        </w:rPr>
      </w:pPr>
    </w:p>
    <w:p w14:paraId="2988DD9B">
      <w:pPr>
        <w:shd w:val="clear" w:color="auto" w:fill="auto"/>
        <w:snapToGrid w:val="0"/>
        <w:spacing w:line="620" w:lineRule="exact"/>
        <w:jc w:val="center"/>
        <w:rPr>
          <w:rStyle w:val="44"/>
          <w:rFonts w:ascii="新宋体" w:hAnsi="新宋体" w:eastAsia="新宋体"/>
          <w:b/>
          <w:color w:val="auto"/>
          <w:sz w:val="36"/>
          <w:szCs w:val="36"/>
          <w:highlight w:val="none"/>
        </w:rPr>
      </w:pPr>
    </w:p>
    <w:p w14:paraId="42D762CA">
      <w:pPr>
        <w:shd w:val="clear" w:color="auto" w:fill="auto"/>
        <w:snapToGrid w:val="0"/>
        <w:spacing w:line="620" w:lineRule="exact"/>
        <w:jc w:val="center"/>
        <w:rPr>
          <w:rStyle w:val="44"/>
          <w:rFonts w:ascii="新宋体" w:hAnsi="新宋体" w:eastAsia="新宋体"/>
          <w:b/>
          <w:color w:val="auto"/>
          <w:sz w:val="36"/>
          <w:szCs w:val="36"/>
          <w:highlight w:val="none"/>
        </w:rPr>
      </w:pPr>
    </w:p>
    <w:p w14:paraId="6BD84955">
      <w:pPr>
        <w:pStyle w:val="3"/>
        <w:shd w:val="clear" w:color="auto" w:fill="auto"/>
        <w:bidi w:val="0"/>
        <w:rPr>
          <w:color w:val="auto"/>
          <w:highlight w:val="none"/>
        </w:rPr>
      </w:pPr>
      <w:bookmarkStart w:id="2" w:name="_Toc13038"/>
      <w:r>
        <w:rPr>
          <w:color w:val="auto"/>
          <w:highlight w:val="none"/>
        </w:rPr>
        <w:t>第二章  投标人须知</w:t>
      </w:r>
      <w:bookmarkEnd w:id="2"/>
    </w:p>
    <w:p w14:paraId="44BBB3BD">
      <w:pPr>
        <w:pStyle w:val="4"/>
        <w:shd w:val="clear" w:color="auto" w:fill="auto"/>
        <w:bidi w:val="0"/>
        <w:jc w:val="center"/>
        <w:rPr>
          <w:rStyle w:val="44"/>
          <w:rFonts w:ascii="新宋体" w:hAnsi="新宋体" w:eastAsia="新宋体"/>
          <w:b/>
          <w:color w:val="auto"/>
          <w:sz w:val="30"/>
          <w:szCs w:val="30"/>
          <w:highlight w:val="none"/>
        </w:rPr>
      </w:pPr>
      <w:bookmarkStart w:id="3" w:name="_Toc7108"/>
      <w:r>
        <w:rPr>
          <w:rStyle w:val="44"/>
          <w:rFonts w:ascii="新宋体" w:hAnsi="新宋体" w:eastAsia="新宋体"/>
          <w:b/>
          <w:color w:val="auto"/>
          <w:sz w:val="30"/>
          <w:szCs w:val="30"/>
          <w:highlight w:val="none"/>
        </w:rPr>
        <w:t>投标人须知前附表</w:t>
      </w:r>
      <w:bookmarkEnd w:id="3"/>
    </w:p>
    <w:p w14:paraId="09A2ECA8">
      <w:pPr>
        <w:shd w:val="clear" w:color="auto" w:fill="auto"/>
        <w:snapToGrid w:val="0"/>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本须知前附表的条款号是与《投标人须知》中条款的项号相对应的。如果有矛盾的话，应以本须知前附表为准。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
        <w:gridCol w:w="732"/>
        <w:gridCol w:w="8464"/>
      </w:tblGrid>
      <w:tr w14:paraId="0977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57FA1B3">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项号</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425FA4F">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条款号</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20B4227D">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编列内容</w:t>
            </w:r>
          </w:p>
        </w:tc>
      </w:tr>
      <w:tr w14:paraId="240C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950FF9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2E14BD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1.1</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971AB79">
            <w:pPr>
              <w:shd w:val="clear" w:color="auto" w:fill="auto"/>
              <w:snapToGrid w:val="0"/>
              <w:spacing w:line="400" w:lineRule="exact"/>
              <w:rPr>
                <w:rStyle w:val="44"/>
                <w:rFonts w:hint="eastAsia" w:ascii="宋体" w:hAnsi="宋体" w:eastAsia="宋体"/>
                <w:b w:val="0"/>
                <w:bCs w:val="0"/>
                <w:color w:val="auto"/>
                <w:sz w:val="24"/>
                <w:szCs w:val="24"/>
                <w:highlight w:val="none"/>
                <w:lang w:eastAsia="zh-CN"/>
              </w:rPr>
            </w:pPr>
            <w:r>
              <w:rPr>
                <w:rStyle w:val="44"/>
                <w:rFonts w:ascii="宋体" w:hAnsi="宋体"/>
                <w:b w:val="0"/>
                <w:bCs w:val="0"/>
                <w:color w:val="auto"/>
                <w:sz w:val="24"/>
                <w:szCs w:val="24"/>
                <w:highlight w:val="none"/>
              </w:rPr>
              <w:t>项目名称：</w:t>
            </w:r>
            <w:r>
              <w:rPr>
                <w:rStyle w:val="44"/>
                <w:rFonts w:hint="eastAsia" w:ascii="宋体" w:hAnsi="宋体" w:cs="宋体"/>
                <w:b w:val="0"/>
                <w:bCs w:val="0"/>
                <w:color w:val="auto"/>
                <w:sz w:val="24"/>
                <w:szCs w:val="24"/>
                <w:highlight w:val="none"/>
              </w:rPr>
              <w:t xml:space="preserve"> </w:t>
            </w:r>
            <w:r>
              <w:rPr>
                <w:rStyle w:val="44"/>
                <w:rFonts w:hint="eastAsia" w:ascii="宋体" w:hAnsi="宋体" w:cs="宋体"/>
                <w:b w:val="0"/>
                <w:bCs w:val="0"/>
                <w:color w:val="auto"/>
                <w:sz w:val="24"/>
                <w:szCs w:val="24"/>
                <w:highlight w:val="none"/>
                <w:lang w:eastAsia="zh-CN"/>
              </w:rPr>
              <w:t>景弘集团有限公司人事管理系统采购项目</w:t>
            </w:r>
          </w:p>
          <w:p w14:paraId="1C9151D7">
            <w:pPr>
              <w:shd w:val="clear" w:color="auto" w:fill="auto"/>
              <w:snapToGrid w:val="0"/>
              <w:spacing w:line="400" w:lineRule="exact"/>
              <w:rPr>
                <w:rStyle w:val="44"/>
                <w:rFonts w:hint="eastAsia" w:ascii="宋体" w:hAnsi="宋体" w:eastAsia="宋体"/>
                <w:b w:val="0"/>
                <w:bCs w:val="0"/>
                <w:color w:val="auto"/>
                <w:sz w:val="24"/>
                <w:szCs w:val="24"/>
                <w:highlight w:val="none"/>
                <w:lang w:eastAsia="zh-CN"/>
              </w:rPr>
            </w:pPr>
            <w:r>
              <w:rPr>
                <w:rStyle w:val="44"/>
                <w:rFonts w:ascii="宋体" w:hAnsi="宋体"/>
                <w:b w:val="0"/>
                <w:bCs w:val="0"/>
                <w:color w:val="auto"/>
                <w:sz w:val="24"/>
                <w:szCs w:val="24"/>
                <w:highlight w:val="none"/>
              </w:rPr>
              <w:t>招标人名称：</w:t>
            </w:r>
            <w:r>
              <w:rPr>
                <w:rStyle w:val="44"/>
                <w:rFonts w:hint="eastAsia" w:ascii="宋体" w:hAnsi="宋体"/>
                <w:b w:val="0"/>
                <w:bCs w:val="0"/>
                <w:color w:val="auto"/>
                <w:sz w:val="24"/>
                <w:szCs w:val="24"/>
                <w:highlight w:val="none"/>
                <w:lang w:eastAsia="zh-CN"/>
              </w:rPr>
              <w:t>景弘集团有限公司</w:t>
            </w:r>
          </w:p>
          <w:p w14:paraId="0E124EE6">
            <w:pPr>
              <w:shd w:val="clear" w:color="auto" w:fill="auto"/>
              <w:snapToGrid w:val="0"/>
              <w:spacing w:line="400" w:lineRule="exact"/>
              <w:rPr>
                <w:rStyle w:val="44"/>
                <w:rFonts w:ascii="宋体" w:hAnsi="宋体"/>
                <w:b w:val="0"/>
                <w:bCs w:val="0"/>
                <w:color w:val="auto"/>
                <w:sz w:val="24"/>
                <w:szCs w:val="24"/>
                <w:highlight w:val="none"/>
              </w:rPr>
            </w:pPr>
            <w:r>
              <w:rPr>
                <w:rStyle w:val="44"/>
                <w:rFonts w:ascii="宋体" w:hAnsi="宋体"/>
                <w:b w:val="0"/>
                <w:bCs w:val="0"/>
                <w:color w:val="auto"/>
                <w:sz w:val="24"/>
                <w:szCs w:val="24"/>
                <w:highlight w:val="none"/>
              </w:rPr>
              <w:t>项目内容：详见招标</w:t>
            </w:r>
            <w:r>
              <w:rPr>
                <w:rStyle w:val="44"/>
                <w:rFonts w:hint="eastAsia" w:ascii="宋体" w:hAnsi="宋体"/>
                <w:b w:val="0"/>
                <w:bCs w:val="0"/>
                <w:color w:val="auto"/>
                <w:sz w:val="24"/>
                <w:szCs w:val="24"/>
                <w:highlight w:val="none"/>
                <w:lang w:eastAsia="zh-CN"/>
              </w:rPr>
              <w:t>标的</w:t>
            </w:r>
            <w:r>
              <w:rPr>
                <w:rStyle w:val="44"/>
                <w:rFonts w:ascii="宋体" w:hAnsi="宋体"/>
                <w:b w:val="0"/>
                <w:bCs w:val="0"/>
                <w:color w:val="auto"/>
                <w:sz w:val="24"/>
                <w:szCs w:val="24"/>
                <w:highlight w:val="none"/>
              </w:rPr>
              <w:t>一览表、第三章招标内容及要求</w:t>
            </w:r>
          </w:p>
          <w:p w14:paraId="5629C07E">
            <w:pPr>
              <w:shd w:val="clear" w:color="auto" w:fill="auto"/>
              <w:snapToGrid w:val="0"/>
              <w:spacing w:line="400" w:lineRule="exact"/>
              <w:rPr>
                <w:rStyle w:val="44"/>
                <w:rFonts w:ascii="宋体" w:hAnsi="宋体"/>
                <w:color w:val="auto"/>
                <w:sz w:val="24"/>
                <w:szCs w:val="24"/>
                <w:highlight w:val="none"/>
                <w:u w:val="single" w:color="000000"/>
              </w:rPr>
            </w:pPr>
            <w:r>
              <w:rPr>
                <w:rStyle w:val="44"/>
                <w:rFonts w:ascii="宋体" w:hAnsi="宋体"/>
                <w:b w:val="0"/>
                <w:bCs w:val="0"/>
                <w:color w:val="auto"/>
                <w:sz w:val="24"/>
                <w:szCs w:val="24"/>
                <w:highlight w:val="none"/>
              </w:rPr>
              <w:t>招标编号：</w:t>
            </w:r>
            <w:r>
              <w:rPr>
                <w:rStyle w:val="44"/>
                <w:rFonts w:hint="eastAsia" w:ascii="宋体" w:hAnsi="宋体"/>
                <w:b w:val="0"/>
                <w:bCs w:val="0"/>
                <w:color w:val="auto"/>
                <w:sz w:val="24"/>
                <w:szCs w:val="24"/>
                <w:highlight w:val="none"/>
                <w:lang w:eastAsia="zh-CN"/>
              </w:rPr>
              <w:t>FXZB-2024071</w:t>
            </w:r>
            <w:r>
              <w:rPr>
                <w:rStyle w:val="44"/>
                <w:rFonts w:ascii="宋体" w:hAnsi="宋体"/>
                <w:b w:val="0"/>
                <w:bCs w:val="0"/>
                <w:color w:val="auto"/>
                <w:sz w:val="24"/>
                <w:szCs w:val="24"/>
                <w:highlight w:val="none"/>
              </w:rPr>
              <w:t xml:space="preserve">   </w:t>
            </w:r>
          </w:p>
        </w:tc>
      </w:tr>
      <w:tr w14:paraId="79F2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C20914B">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2</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BC203A9">
            <w:pPr>
              <w:shd w:val="clear" w:color="auto" w:fill="auto"/>
              <w:snapToGrid w:val="0"/>
              <w:jc w:val="center"/>
              <w:rPr>
                <w:rStyle w:val="44"/>
                <w:rFonts w:ascii="宋体" w:hAnsi="宋体"/>
                <w:color w:val="auto"/>
                <w:sz w:val="24"/>
                <w:szCs w:val="24"/>
                <w:highlight w:val="none"/>
              </w:rPr>
            </w:pPr>
            <w:r>
              <w:rPr>
                <w:rStyle w:val="44"/>
                <w:rFonts w:hint="eastAsia" w:ascii="宋体" w:hAnsi="宋体"/>
                <w:color w:val="auto"/>
                <w:sz w:val="24"/>
                <w:szCs w:val="24"/>
                <w:highlight w:val="none"/>
              </w:rPr>
              <w:t>3.1</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608436A5">
            <w:pPr>
              <w:shd w:val="clear" w:color="auto" w:fill="auto"/>
              <w:snapToGrid w:val="0"/>
              <w:spacing w:line="396" w:lineRule="exact"/>
              <w:rPr>
                <w:rStyle w:val="44"/>
                <w:rFonts w:ascii="宋体" w:hAnsi="宋体"/>
                <w:color w:val="auto"/>
                <w:sz w:val="24"/>
                <w:szCs w:val="24"/>
                <w:highlight w:val="none"/>
              </w:rPr>
            </w:pPr>
            <w:r>
              <w:rPr>
                <w:rStyle w:val="44"/>
                <w:rFonts w:ascii="宋体" w:hAnsi="宋体"/>
                <w:color w:val="auto"/>
                <w:sz w:val="24"/>
                <w:szCs w:val="24"/>
                <w:highlight w:val="none"/>
              </w:rPr>
              <w:t>资格标准：</w:t>
            </w:r>
          </w:p>
          <w:p w14:paraId="711EBB9B">
            <w:pPr>
              <w:shd w:val="clear" w:color="auto" w:fill="auto"/>
              <w:spacing w:line="440" w:lineRule="exact"/>
              <w:ind w:firstLine="475" w:firstLineChars="198"/>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具有独立法人资格，有能力提供本招标文件所叙述</w:t>
            </w:r>
            <w:r>
              <w:rPr>
                <w:rFonts w:hint="eastAsia" w:ascii="宋体" w:hAnsi="宋体"/>
                <w:color w:val="auto"/>
                <w:sz w:val="24"/>
                <w:highlight w:val="none"/>
                <w:lang w:eastAsia="zh-CN"/>
              </w:rPr>
              <w:t>货物及</w:t>
            </w:r>
            <w:r>
              <w:rPr>
                <w:rFonts w:hint="eastAsia" w:ascii="宋体" w:hAnsi="宋体"/>
                <w:color w:val="auto"/>
                <w:sz w:val="24"/>
                <w:highlight w:val="none"/>
              </w:rPr>
              <w:t>服务的单位，并提供下列资格证明，所有资格证明文件复印件须加盖投标人公章：</w:t>
            </w:r>
          </w:p>
          <w:p w14:paraId="271671EB">
            <w:pPr>
              <w:pStyle w:val="75"/>
              <w:shd w:val="clear" w:color="auto" w:fill="auto"/>
              <w:spacing w:line="440" w:lineRule="exact"/>
              <w:ind w:firstLine="360" w:firstLineChars="150"/>
              <w:outlineLvl w:val="9"/>
              <w:rPr>
                <w:rFonts w:hAnsi="宋体"/>
                <w:color w:val="auto"/>
                <w:sz w:val="24"/>
                <w:szCs w:val="24"/>
                <w:highlight w:val="none"/>
              </w:rPr>
            </w:pPr>
            <w:bookmarkStart w:id="4" w:name="_Toc463883661"/>
            <w:bookmarkStart w:id="5" w:name="_Toc25688"/>
            <w:bookmarkStart w:id="6" w:name="_Toc496617307"/>
            <w:bookmarkStart w:id="7" w:name="_Toc496777776"/>
            <w:bookmarkStart w:id="8" w:name="_Toc463883618"/>
            <w:bookmarkStart w:id="9" w:name="_Toc23759"/>
            <w:bookmarkStart w:id="10" w:name="_Toc466291173"/>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）合格有效的</w:t>
            </w:r>
            <w:r>
              <w:rPr>
                <w:rFonts w:hint="eastAsia" w:hAnsi="宋体" w:cs="宋体"/>
                <w:color w:val="auto"/>
                <w:kern w:val="0"/>
                <w:sz w:val="24"/>
                <w:highlight w:val="none"/>
              </w:rPr>
              <w:t>企业法人营业执照复印件或事业单位法人证书复印件</w:t>
            </w:r>
            <w:r>
              <w:rPr>
                <w:rFonts w:hint="eastAsia" w:hAnsi="宋体"/>
                <w:color w:val="auto"/>
                <w:sz w:val="24"/>
                <w:szCs w:val="24"/>
                <w:highlight w:val="none"/>
              </w:rPr>
              <w:t>；</w:t>
            </w:r>
            <w:bookmarkEnd w:id="4"/>
            <w:bookmarkEnd w:id="5"/>
            <w:bookmarkEnd w:id="6"/>
            <w:bookmarkEnd w:id="7"/>
            <w:bookmarkEnd w:id="8"/>
            <w:bookmarkEnd w:id="9"/>
            <w:bookmarkEnd w:id="10"/>
          </w:p>
          <w:p w14:paraId="4CCDDD23">
            <w:pPr>
              <w:pStyle w:val="75"/>
              <w:shd w:val="clear" w:color="auto" w:fill="auto"/>
              <w:spacing w:line="440" w:lineRule="exact"/>
              <w:ind w:firstLine="360" w:firstLineChars="150"/>
              <w:outlineLvl w:val="9"/>
              <w:rPr>
                <w:rFonts w:hAnsi="宋体"/>
                <w:color w:val="auto"/>
                <w:sz w:val="24"/>
                <w:szCs w:val="24"/>
                <w:highlight w:val="none"/>
              </w:rPr>
            </w:pPr>
            <w:bookmarkStart w:id="11" w:name="_Toc496777777"/>
            <w:bookmarkStart w:id="12" w:name="_Toc19239"/>
            <w:bookmarkStart w:id="13" w:name="_Toc16065"/>
            <w:bookmarkStart w:id="14" w:name="_Toc463883662"/>
            <w:bookmarkStart w:id="15" w:name="_Toc466291174"/>
            <w:bookmarkStart w:id="16" w:name="_Toc463883619"/>
            <w:bookmarkStart w:id="17" w:name="_Toc496617308"/>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）合格有效的税务登记证副本复印件（若是营业执照已更换为统一社会信用代码的投标人则无需提供税务登记证副本复印件）；</w:t>
            </w:r>
            <w:bookmarkEnd w:id="11"/>
            <w:bookmarkEnd w:id="12"/>
            <w:bookmarkEnd w:id="13"/>
            <w:bookmarkEnd w:id="14"/>
            <w:bookmarkEnd w:id="15"/>
            <w:bookmarkEnd w:id="16"/>
            <w:bookmarkEnd w:id="17"/>
          </w:p>
          <w:p w14:paraId="1AA0062C">
            <w:pPr>
              <w:pStyle w:val="75"/>
              <w:shd w:val="clear" w:color="auto" w:fill="auto"/>
              <w:spacing w:line="440" w:lineRule="exact"/>
              <w:ind w:firstLine="352" w:firstLineChars="147"/>
              <w:outlineLvl w:val="9"/>
              <w:rPr>
                <w:rFonts w:hAnsi="宋体"/>
                <w:color w:val="auto"/>
                <w:sz w:val="24"/>
                <w:szCs w:val="24"/>
                <w:highlight w:val="none"/>
              </w:rPr>
            </w:pPr>
            <w:bookmarkStart w:id="18" w:name="_Toc463883663"/>
            <w:bookmarkStart w:id="19" w:name="_Toc463883620"/>
            <w:bookmarkStart w:id="20" w:name="_Toc496617309"/>
            <w:bookmarkStart w:id="21" w:name="_Toc466291175"/>
            <w:bookmarkStart w:id="22" w:name="_Toc496777778"/>
            <w:bookmarkStart w:id="23" w:name="_Toc31362"/>
            <w:bookmarkStart w:id="24" w:name="_Toc3518"/>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w:t>
            </w:r>
            <w:r>
              <w:rPr>
                <w:rFonts w:hint="eastAsia" w:hAnsi="宋体"/>
                <w:color w:val="auto"/>
                <w:sz w:val="24"/>
                <w:highlight w:val="none"/>
              </w:rPr>
              <w:t>单位负责人授权书原件</w:t>
            </w:r>
            <w:r>
              <w:rPr>
                <w:rFonts w:hAnsi="宋体"/>
                <w:color w:val="auto"/>
                <w:sz w:val="24"/>
                <w:highlight w:val="none"/>
              </w:rPr>
              <w:t xml:space="preserve"> </w:t>
            </w:r>
            <w:r>
              <w:rPr>
                <w:rFonts w:hint="eastAsia" w:hAnsi="宋体"/>
                <w:color w:val="auto"/>
                <w:sz w:val="24"/>
                <w:highlight w:val="none"/>
                <w:lang w:eastAsia="zh-CN"/>
              </w:rPr>
              <w:t>（</w:t>
            </w:r>
            <w:r>
              <w:rPr>
                <w:rFonts w:hint="eastAsia" w:hAnsi="宋体"/>
                <w:color w:val="auto"/>
                <w:sz w:val="24"/>
                <w:highlight w:val="none"/>
              </w:rPr>
              <w:t>若投标人代表与单位负责人为同一人，无需提供此件</w:t>
            </w:r>
            <w:bookmarkEnd w:id="18"/>
            <w:bookmarkEnd w:id="19"/>
            <w:bookmarkEnd w:id="20"/>
            <w:bookmarkEnd w:id="21"/>
            <w:bookmarkEnd w:id="22"/>
            <w:r>
              <w:rPr>
                <w:rFonts w:hint="eastAsia" w:hAnsi="宋体"/>
                <w:color w:val="auto"/>
                <w:sz w:val="24"/>
                <w:highlight w:val="none"/>
                <w:lang w:eastAsia="zh-CN"/>
              </w:rPr>
              <w:t>）</w:t>
            </w:r>
            <w:r>
              <w:rPr>
                <w:rFonts w:hint="eastAsia" w:hAnsi="宋体"/>
                <w:color w:val="auto"/>
                <w:sz w:val="24"/>
                <w:highlight w:val="none"/>
              </w:rPr>
              <w:t>；</w:t>
            </w:r>
            <w:bookmarkEnd w:id="23"/>
            <w:bookmarkEnd w:id="24"/>
          </w:p>
          <w:p w14:paraId="4F0C025C">
            <w:pPr>
              <w:pStyle w:val="75"/>
              <w:shd w:val="clear" w:color="auto" w:fill="auto"/>
              <w:tabs>
                <w:tab w:val="left" w:pos="6090"/>
              </w:tabs>
              <w:spacing w:line="440" w:lineRule="exact"/>
              <w:ind w:firstLine="352" w:firstLineChars="147"/>
              <w:outlineLvl w:val="9"/>
              <w:rPr>
                <w:rFonts w:hAnsi="宋体"/>
                <w:color w:val="auto"/>
                <w:sz w:val="24"/>
                <w:szCs w:val="24"/>
                <w:highlight w:val="none"/>
              </w:rPr>
            </w:pPr>
            <w:bookmarkStart w:id="25" w:name="_Toc5452"/>
            <w:bookmarkStart w:id="26" w:name="_Toc466291176"/>
            <w:bookmarkStart w:id="27" w:name="_Toc639"/>
            <w:bookmarkStart w:id="28" w:name="_Toc463883621"/>
            <w:bookmarkStart w:id="29" w:name="_Toc496777779"/>
            <w:bookmarkStart w:id="30" w:name="_Toc463883664"/>
            <w:bookmarkStart w:id="31" w:name="_Toc496617310"/>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color w:val="auto"/>
                <w:sz w:val="24"/>
                <w:highlight w:val="none"/>
              </w:rPr>
              <w:t>单位负责人</w:t>
            </w:r>
            <w:r>
              <w:rPr>
                <w:rFonts w:hint="eastAsia" w:hAnsi="宋体"/>
                <w:color w:val="auto"/>
                <w:sz w:val="24"/>
                <w:szCs w:val="24"/>
                <w:highlight w:val="none"/>
              </w:rPr>
              <w:t>身份证复印件；</w:t>
            </w:r>
            <w:bookmarkEnd w:id="25"/>
            <w:bookmarkEnd w:id="26"/>
            <w:bookmarkEnd w:id="27"/>
            <w:bookmarkEnd w:id="28"/>
            <w:bookmarkEnd w:id="29"/>
            <w:bookmarkEnd w:id="30"/>
            <w:bookmarkEnd w:id="31"/>
          </w:p>
          <w:p w14:paraId="2F8DF2AE">
            <w:pPr>
              <w:pStyle w:val="75"/>
              <w:shd w:val="clear" w:color="auto" w:fill="auto"/>
              <w:spacing w:line="440" w:lineRule="exact"/>
              <w:ind w:firstLine="352" w:firstLineChars="147"/>
              <w:outlineLvl w:val="9"/>
              <w:rPr>
                <w:rFonts w:hAnsi="宋体"/>
                <w:color w:val="auto"/>
                <w:sz w:val="24"/>
                <w:szCs w:val="24"/>
                <w:highlight w:val="none"/>
              </w:rPr>
            </w:pPr>
            <w:bookmarkStart w:id="32" w:name="_Toc496777780"/>
            <w:bookmarkStart w:id="33" w:name="_Toc463883665"/>
            <w:bookmarkStart w:id="34" w:name="_Toc32386"/>
            <w:bookmarkStart w:id="35" w:name="_Toc463883622"/>
            <w:bookmarkStart w:id="36" w:name="_Toc3536"/>
            <w:bookmarkStart w:id="37" w:name="_Toc466291177"/>
            <w:bookmarkStart w:id="38" w:name="_Toc496617311"/>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）投标代表人身份证复印件。</w:t>
            </w:r>
            <w:bookmarkEnd w:id="32"/>
            <w:bookmarkEnd w:id="33"/>
            <w:bookmarkEnd w:id="34"/>
            <w:bookmarkEnd w:id="35"/>
            <w:bookmarkEnd w:id="36"/>
            <w:bookmarkEnd w:id="37"/>
            <w:bookmarkEnd w:id="38"/>
          </w:p>
          <w:p w14:paraId="6BA4A1C8">
            <w:pPr>
              <w:shd w:val="clear" w:color="auto" w:fill="auto"/>
              <w:spacing w:line="440" w:lineRule="exact"/>
              <w:ind w:firstLine="470" w:firstLineChars="196"/>
              <w:rPr>
                <w:rFonts w:ascii="宋体"/>
                <w:color w:val="auto"/>
                <w:sz w:val="24"/>
                <w:highlight w:val="none"/>
              </w:rPr>
            </w:pPr>
            <w:r>
              <w:rPr>
                <w:rFonts w:ascii="宋体" w:hAnsi="宋体"/>
                <w:color w:val="auto"/>
                <w:sz w:val="24"/>
                <w:highlight w:val="none"/>
              </w:rPr>
              <w:t>2</w:t>
            </w:r>
            <w:r>
              <w:rPr>
                <w:rFonts w:ascii="宋体"/>
                <w:color w:val="auto"/>
                <w:sz w:val="24"/>
                <w:highlight w:val="none"/>
              </w:rPr>
              <w:t>.</w:t>
            </w:r>
            <w:r>
              <w:rPr>
                <w:rFonts w:hint="eastAsia" w:ascii="宋体" w:hAnsi="宋体" w:cs="宋体"/>
                <w:color w:val="auto"/>
                <w:kern w:val="0"/>
                <w:sz w:val="24"/>
                <w:highlight w:val="none"/>
              </w:rPr>
              <w:t>投标人须提供参加招标活动前三年内在经营活动中没有行贿犯罪记录书面声明；存在行贿犯罪记录或未提供书面声明的，投标无效。</w:t>
            </w:r>
          </w:p>
          <w:p w14:paraId="3C393BD9">
            <w:pPr>
              <w:shd w:val="clear" w:color="auto" w:fill="auto"/>
              <w:spacing w:line="420" w:lineRule="exact"/>
              <w:ind w:firstLine="470" w:firstLineChars="196"/>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Style w:val="44"/>
                <w:rFonts w:ascii="宋体" w:hAnsi="宋体"/>
                <w:color w:val="auto"/>
                <w:sz w:val="24"/>
                <w:szCs w:val="24"/>
                <w:highlight w:val="none"/>
              </w:rPr>
              <w:t>投标人须提供财务状况报告</w:t>
            </w:r>
            <w:r>
              <w:rPr>
                <w:rStyle w:val="44"/>
                <w:rFonts w:hint="eastAsia" w:ascii="宋体" w:hAnsi="宋体"/>
                <w:color w:val="auto"/>
                <w:sz w:val="24"/>
                <w:szCs w:val="24"/>
                <w:highlight w:val="none"/>
              </w:rPr>
              <w:t>、</w:t>
            </w:r>
            <w:r>
              <w:rPr>
                <w:rStyle w:val="44"/>
                <w:rFonts w:ascii="宋体" w:hAnsi="宋体"/>
                <w:color w:val="auto"/>
                <w:sz w:val="24"/>
                <w:szCs w:val="24"/>
                <w:highlight w:val="none"/>
              </w:rPr>
              <w:t>依法缴纳税收和社会保障资金</w:t>
            </w:r>
            <w:r>
              <w:rPr>
                <w:rStyle w:val="44"/>
                <w:rFonts w:hint="eastAsia" w:ascii="宋体" w:hAnsi="宋体"/>
                <w:color w:val="auto"/>
                <w:sz w:val="24"/>
                <w:szCs w:val="24"/>
                <w:highlight w:val="none"/>
              </w:rPr>
              <w:t>等</w:t>
            </w:r>
            <w:r>
              <w:rPr>
                <w:rStyle w:val="44"/>
                <w:rFonts w:ascii="宋体" w:hAnsi="宋体"/>
                <w:color w:val="auto"/>
                <w:sz w:val="24"/>
                <w:szCs w:val="24"/>
                <w:highlight w:val="none"/>
              </w:rPr>
              <w:t>相关材料：</w:t>
            </w:r>
          </w:p>
          <w:p w14:paraId="0FF51A58">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）提供</w:t>
            </w:r>
            <w:r>
              <w:rPr>
                <w:rFonts w:hint="eastAsia" w:ascii="宋体" w:hAnsi="宋体"/>
                <w:color w:val="auto"/>
                <w:sz w:val="24"/>
                <w:highlight w:val="none"/>
                <w:lang w:val="en-US" w:eastAsia="zh-CN"/>
              </w:rPr>
              <w:t>2024年度</w:t>
            </w:r>
            <w:r>
              <w:rPr>
                <w:rFonts w:hint="eastAsia" w:ascii="宋体" w:hAnsi="宋体"/>
                <w:color w:val="auto"/>
                <w:sz w:val="24"/>
                <w:highlight w:val="none"/>
              </w:rPr>
              <w:t>经审计的财务报告；或者提供基本开户银行出具的资信证明；</w:t>
            </w:r>
          </w:p>
          <w:p w14:paraId="38D4D0B6">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宋体"/>
                <w:color w:val="auto"/>
                <w:kern w:val="0"/>
                <w:sz w:val="24"/>
                <w:highlight w:val="none"/>
              </w:rPr>
              <w:t>提供投标截止时间前六个月（不含投标截止时间的当月）中任一月份</w:t>
            </w:r>
            <w:r>
              <w:rPr>
                <w:rFonts w:hint="eastAsia" w:ascii="宋体" w:hAnsi="宋体"/>
                <w:color w:val="auto"/>
                <w:sz w:val="24"/>
                <w:highlight w:val="none"/>
              </w:rPr>
              <w:t>缴纳税收的凭据；或者提供依法免税的相应证明文件；</w:t>
            </w:r>
          </w:p>
          <w:p w14:paraId="5B6BC0AE">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s="宋体"/>
                <w:color w:val="auto"/>
                <w:kern w:val="0"/>
                <w:sz w:val="24"/>
                <w:highlight w:val="none"/>
              </w:rPr>
              <w:t>提供投标截止时间前六个月（不含投标截止时间的当月）中任一月份</w:t>
            </w:r>
            <w:r>
              <w:rPr>
                <w:rFonts w:hint="eastAsia" w:ascii="宋体" w:hAnsi="宋体"/>
                <w:color w:val="auto"/>
                <w:sz w:val="24"/>
                <w:highlight w:val="none"/>
              </w:rPr>
              <w:t>缴纳社会保险的凭据；或者提供不需要缴纳社会保障资金的相应证明文件；</w:t>
            </w:r>
          </w:p>
          <w:p w14:paraId="5056A97C">
            <w:pPr>
              <w:shd w:val="clear" w:color="auto" w:fill="auto"/>
              <w:spacing w:line="420" w:lineRule="exact"/>
              <w:ind w:firstLine="470" w:firstLineChars="196"/>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kern w:val="0"/>
                <w:sz w:val="24"/>
                <w:highlight w:val="none"/>
              </w:rPr>
              <w:t>参加招标活动前三年内在经营活动中没有重大违法记录书面声明</w:t>
            </w:r>
            <w:r>
              <w:rPr>
                <w:rFonts w:hint="eastAsia" w:ascii="宋体" w:hAnsi="宋体"/>
                <w:color w:val="auto"/>
                <w:sz w:val="24"/>
                <w:highlight w:val="none"/>
              </w:rPr>
              <w:t>；</w:t>
            </w:r>
          </w:p>
          <w:p w14:paraId="65F9DE84">
            <w:pPr>
              <w:shd w:val="clear" w:color="auto" w:fill="auto"/>
              <w:tabs>
                <w:tab w:val="left" w:pos="284"/>
              </w:tabs>
              <w:spacing w:line="440" w:lineRule="exact"/>
              <w:ind w:firstLine="470" w:firstLineChars="196"/>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）参加招标活动前</w:t>
            </w:r>
            <w:r>
              <w:rPr>
                <w:rFonts w:ascii="宋体" w:hAnsi="宋体"/>
                <w:color w:val="auto"/>
                <w:sz w:val="24"/>
                <w:highlight w:val="none"/>
              </w:rPr>
              <w:t>3</w:t>
            </w:r>
            <w:r>
              <w:rPr>
                <w:rFonts w:hint="eastAsia" w:ascii="宋体" w:hAnsi="宋体"/>
                <w:color w:val="auto"/>
                <w:sz w:val="24"/>
                <w:highlight w:val="none"/>
              </w:rPr>
              <w:t>年内没有严重违法失信行为信息记录，</w:t>
            </w:r>
            <w:r>
              <w:rPr>
                <w:rFonts w:hint="eastAsia" w:ascii="宋体" w:hAnsi="宋体" w:cs="宋体"/>
                <w:color w:val="auto"/>
                <w:sz w:val="24"/>
                <w:highlight w:val="none"/>
              </w:rPr>
              <w:t>信用信息查询渠道通过“信用中国”网站（http：//www.creditchina.gov.cn）和中国政府采购网（http：//www.ccgp.gov.cn），有严重违法失信行为信息记录的视为无效投标。</w:t>
            </w:r>
            <w:r>
              <w:rPr>
                <w:rFonts w:hint="eastAsia" w:ascii="宋体" w:hAnsi="宋体"/>
                <w:color w:val="auto"/>
                <w:sz w:val="24"/>
                <w:highlight w:val="none"/>
              </w:rPr>
              <w:t>可自主提供证明材料，未提供该证明材料的不视为投标无效。</w:t>
            </w:r>
          </w:p>
          <w:p w14:paraId="57735288">
            <w:pPr>
              <w:shd w:val="clear" w:color="auto" w:fill="auto"/>
              <w:spacing w:line="440" w:lineRule="exact"/>
              <w:ind w:firstLine="482" w:firstLineChars="200"/>
              <w:rPr>
                <w:rFonts w:hint="eastAsia" w:ascii="宋体" w:hAnsi="宋体" w:cs="宋体"/>
                <w:b w:val="0"/>
                <w:bCs w:val="0"/>
                <w:color w:val="auto"/>
                <w:sz w:val="24"/>
                <w:highlight w:val="none"/>
                <w:shd w:val="clear" w:color="auto" w:fill="FFFFFF"/>
                <w:lang w:val="en-US" w:eastAsia="zh-CN"/>
              </w:rPr>
            </w:pPr>
            <w:r>
              <w:rPr>
                <w:rFonts w:hint="eastAsia" w:ascii="宋体" w:hAnsi="宋体"/>
                <w:b/>
                <w:bCs/>
                <w:color w:val="auto"/>
                <w:sz w:val="24"/>
                <w:highlight w:val="none"/>
                <w:lang w:val="en-US" w:eastAsia="zh-CN"/>
              </w:rPr>
              <w:t>4.投标人没有被列入景弘集团有限公司黑名单，投标人须提供承诺函。投标人被列入景弘集团有限公司黑名单的（由招标人提供），其资格审查不合格。</w:t>
            </w:r>
          </w:p>
          <w:p w14:paraId="79D77DE7">
            <w:pPr>
              <w:shd w:val="clear" w:color="auto" w:fill="auto"/>
              <w:spacing w:line="440" w:lineRule="exact"/>
              <w:ind w:firstLine="480" w:firstLineChars="200"/>
              <w:rPr>
                <w:rFonts w:ascii="宋体"/>
                <w:color w:val="auto"/>
                <w:sz w:val="24"/>
                <w:highlight w:val="none"/>
              </w:rPr>
            </w:pPr>
            <w:r>
              <w:rPr>
                <w:rFonts w:hint="eastAsia" w:ascii="宋体" w:hAnsi="宋体" w:cs="宋体"/>
                <w:b w:val="0"/>
                <w:bCs w:val="0"/>
                <w:color w:val="auto"/>
                <w:sz w:val="24"/>
                <w:highlight w:val="none"/>
                <w:shd w:val="clear" w:color="auto" w:fill="FFFFFF"/>
                <w:lang w:val="en-US" w:eastAsia="zh-CN"/>
              </w:rPr>
              <w:t>5</w:t>
            </w:r>
            <w:r>
              <w:rPr>
                <w:rFonts w:ascii="宋体"/>
                <w:b w:val="0"/>
                <w:bCs w:val="0"/>
                <w:color w:val="auto"/>
                <w:sz w:val="24"/>
                <w:highlight w:val="none"/>
              </w:rPr>
              <w:t>.</w:t>
            </w:r>
            <w:r>
              <w:rPr>
                <w:rFonts w:hint="eastAsia" w:ascii="宋体" w:hAnsi="宋体"/>
                <w:color w:val="auto"/>
                <w:sz w:val="24"/>
                <w:highlight w:val="none"/>
              </w:rPr>
              <w:t>单位负责人为同一人或存在直接控股、管理关系的不同供应商，不得同时参加同一合同项下的投标，否则投标无效。</w:t>
            </w:r>
          </w:p>
          <w:p w14:paraId="3196514E">
            <w:pPr>
              <w:shd w:val="clear" w:color="auto" w:fill="auto"/>
              <w:tabs>
                <w:tab w:val="left" w:pos="321"/>
                <w:tab w:val="left" w:pos="525"/>
              </w:tabs>
              <w:spacing w:line="420" w:lineRule="exact"/>
              <w:ind w:firstLine="470" w:firstLineChars="196"/>
              <w:rPr>
                <w:rFonts w:ascii="宋体"/>
                <w:color w:val="auto"/>
                <w:sz w:val="24"/>
                <w:highlight w:val="none"/>
              </w:rPr>
            </w:pPr>
            <w:r>
              <w:rPr>
                <w:rFonts w:hint="eastAsia" w:ascii="宋体" w:hAnsi="宋体"/>
                <w:color w:val="auto"/>
                <w:sz w:val="24"/>
                <w:highlight w:val="none"/>
                <w:lang w:val="en-US" w:eastAsia="zh-CN"/>
              </w:rPr>
              <w:t>6</w:t>
            </w:r>
            <w:r>
              <w:rPr>
                <w:rFonts w:ascii="宋体"/>
                <w:color w:val="auto"/>
                <w:sz w:val="24"/>
                <w:highlight w:val="none"/>
              </w:rPr>
              <w:t>.</w:t>
            </w:r>
            <w:r>
              <w:rPr>
                <w:rFonts w:hint="eastAsia" w:ascii="宋体" w:hAnsi="宋体"/>
                <w:color w:val="auto"/>
                <w:sz w:val="24"/>
                <w:highlight w:val="none"/>
              </w:rPr>
              <w:t>投标人不得与本次招标项下设计、编制技术规格和其它文件的公司或提供咨询服务的公司包括其附属机构有任何关联。</w:t>
            </w:r>
          </w:p>
          <w:p w14:paraId="31251FBB">
            <w:pPr>
              <w:shd w:val="clear" w:color="auto" w:fill="auto"/>
              <w:spacing w:line="440" w:lineRule="exact"/>
              <w:ind w:firstLine="470" w:firstLineChars="196"/>
              <w:rPr>
                <w:rFonts w:ascii="宋体"/>
                <w:color w:val="auto"/>
                <w:sz w:val="24"/>
                <w:highlight w:val="none"/>
              </w:rPr>
            </w:pPr>
            <w:r>
              <w:rPr>
                <w:rFonts w:hint="eastAsia" w:ascii="宋体" w:hAnsi="宋体"/>
                <w:color w:val="auto"/>
                <w:sz w:val="24"/>
                <w:highlight w:val="none"/>
                <w:lang w:val="en-US" w:eastAsia="zh-CN"/>
              </w:rPr>
              <w:t>7</w:t>
            </w:r>
            <w:r>
              <w:rPr>
                <w:rFonts w:ascii="宋体"/>
                <w:color w:val="auto"/>
                <w:sz w:val="24"/>
                <w:highlight w:val="none"/>
              </w:rPr>
              <w:t>.</w:t>
            </w:r>
            <w:r>
              <w:rPr>
                <w:rFonts w:hint="eastAsia" w:ascii="宋体" w:hAnsi="宋体"/>
                <w:color w:val="auto"/>
                <w:sz w:val="24"/>
                <w:highlight w:val="none"/>
              </w:rPr>
              <w:t>投标代理人在同一个项目中只能接受一个投标人的委托参加投标。</w:t>
            </w:r>
          </w:p>
          <w:p w14:paraId="29A30696">
            <w:pPr>
              <w:shd w:val="clear" w:color="auto" w:fill="auto"/>
              <w:spacing w:line="440" w:lineRule="exact"/>
              <w:ind w:firstLine="470" w:firstLineChars="196"/>
              <w:rPr>
                <w:rFonts w:ascii="宋体" w:cs="宋体"/>
                <w:color w:val="auto"/>
                <w:sz w:val="24"/>
                <w:highlight w:val="none"/>
              </w:rPr>
            </w:pPr>
            <w:r>
              <w:rPr>
                <w:rFonts w:hint="eastAsia" w:ascii="宋体" w:hAnsi="宋体"/>
                <w:color w:val="auto"/>
                <w:sz w:val="24"/>
                <w:highlight w:val="none"/>
                <w:lang w:val="en-US" w:eastAsia="zh-CN"/>
              </w:rPr>
              <w:t>8</w:t>
            </w:r>
            <w:r>
              <w:rPr>
                <w:rFonts w:ascii="宋体"/>
                <w:color w:val="auto"/>
                <w:sz w:val="24"/>
                <w:highlight w:val="none"/>
              </w:rPr>
              <w:t>.</w:t>
            </w:r>
            <w:r>
              <w:rPr>
                <w:rFonts w:hint="eastAsia" w:ascii="宋体" w:hAnsi="宋体"/>
                <w:color w:val="auto"/>
                <w:sz w:val="24"/>
                <w:highlight w:val="none"/>
              </w:rPr>
              <w:t>本项目不接受联合体投标。</w:t>
            </w:r>
          </w:p>
          <w:p w14:paraId="44C0E4FF">
            <w:pPr>
              <w:shd w:val="clear" w:color="auto" w:fill="auto"/>
              <w:snapToGrid w:val="0"/>
              <w:spacing w:line="320" w:lineRule="exact"/>
              <w:jc w:val="left"/>
              <w:rPr>
                <w:rStyle w:val="44"/>
                <w:rFonts w:ascii="宋体" w:hAnsi="宋体"/>
                <w:color w:val="auto"/>
                <w:sz w:val="24"/>
                <w:szCs w:val="24"/>
                <w:highlight w:val="none"/>
              </w:rPr>
            </w:pPr>
            <w:r>
              <w:rPr>
                <w:rFonts w:hint="eastAsia" w:ascii="宋体" w:hAnsi="宋体"/>
                <w:b/>
                <w:color w:val="auto"/>
                <w:sz w:val="24"/>
                <w:highlight w:val="none"/>
              </w:rPr>
              <w:t>备注：以上资格证明文件为必备资格，投标人提交资格证明文件的所有复印件必须是最新（有效期内），复印件须加盖投标人公章，缺一项或某项达不到要求的，投标文件按无效投标处理。</w:t>
            </w:r>
          </w:p>
        </w:tc>
      </w:tr>
      <w:tr w14:paraId="504F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C997BD7">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3</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58615BE">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36108061">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投标有效期：投标截止期结束后</w:t>
            </w:r>
            <w:r>
              <w:rPr>
                <w:rStyle w:val="44"/>
                <w:rFonts w:ascii="宋体" w:hAnsi="宋体"/>
                <w:color w:val="auto"/>
                <w:sz w:val="24"/>
                <w:szCs w:val="24"/>
                <w:highlight w:val="none"/>
                <w:u w:val="single" w:color="000000"/>
              </w:rPr>
              <w:t xml:space="preserve">90 </w:t>
            </w:r>
            <w:r>
              <w:rPr>
                <w:rStyle w:val="44"/>
                <w:rFonts w:ascii="宋体" w:hAnsi="宋体"/>
                <w:color w:val="auto"/>
                <w:sz w:val="24"/>
                <w:szCs w:val="24"/>
                <w:highlight w:val="none"/>
              </w:rPr>
              <w:t>日历日。</w:t>
            </w:r>
          </w:p>
          <w:p w14:paraId="1305DD80">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有效期不足按无效投标处理。</w:t>
            </w:r>
          </w:p>
        </w:tc>
      </w:tr>
      <w:tr w14:paraId="178D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C876735">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4</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072A04C">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491E5C5">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投标文件递交至：</w:t>
            </w:r>
            <w:r>
              <w:rPr>
                <w:rStyle w:val="44"/>
                <w:rFonts w:hint="eastAsia" w:ascii="宋体" w:hAnsi="宋体"/>
                <w:color w:val="auto"/>
                <w:sz w:val="24"/>
                <w:szCs w:val="24"/>
                <w:highlight w:val="none"/>
              </w:rPr>
              <w:t>福建方兴</w:t>
            </w:r>
            <w:r>
              <w:rPr>
                <w:rStyle w:val="44"/>
                <w:rFonts w:ascii="宋体" w:hAnsi="宋体"/>
                <w:color w:val="auto"/>
                <w:sz w:val="24"/>
                <w:szCs w:val="24"/>
                <w:highlight w:val="none"/>
              </w:rPr>
              <w:t>招标代理有限公司</w:t>
            </w:r>
          </w:p>
          <w:p w14:paraId="386518B4">
            <w:pPr>
              <w:shd w:val="clear" w:color="auto" w:fill="auto"/>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pacing w:val="-2"/>
                <w:sz w:val="24"/>
                <w:szCs w:val="24"/>
                <w:highlight w:val="none"/>
              </w:rPr>
              <w:t>福州市鼓楼区鼓屏路192号山海大厦南楼11层</w:t>
            </w:r>
          </w:p>
          <w:p w14:paraId="6F427C1E">
            <w:pPr>
              <w:shd w:val="clear" w:color="auto" w:fill="auto"/>
              <w:snapToGrid w:val="0"/>
              <w:spacing w:line="400" w:lineRule="exact"/>
              <w:rPr>
                <w:rStyle w:val="44"/>
                <w:rFonts w:ascii="宋体" w:hAnsi="宋体"/>
                <w:color w:val="auto"/>
                <w:sz w:val="24"/>
                <w:szCs w:val="24"/>
                <w:highlight w:val="none"/>
              </w:rPr>
            </w:pPr>
            <w:r>
              <w:rPr>
                <w:rFonts w:hint="eastAsia" w:ascii="宋体" w:hAnsi="宋体" w:cs="宋体"/>
                <w:color w:val="auto"/>
                <w:sz w:val="24"/>
                <w:szCs w:val="24"/>
                <w:highlight w:val="none"/>
              </w:rPr>
              <w:t>接收人：肖榕</w:t>
            </w:r>
            <w:r>
              <w:rPr>
                <w:rStyle w:val="44"/>
                <w:rFonts w:ascii="宋体" w:hAnsi="宋体"/>
                <w:color w:val="auto"/>
                <w:sz w:val="24"/>
                <w:szCs w:val="24"/>
                <w:highlight w:val="none"/>
              </w:rPr>
              <w:t xml:space="preserve"> </w:t>
            </w:r>
          </w:p>
          <w:p w14:paraId="269F3DE7">
            <w:pPr>
              <w:shd w:val="clear" w:color="auto" w:fill="auto"/>
              <w:snapToGrid w:val="0"/>
              <w:spacing w:line="40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投标截止时间：</w:t>
            </w:r>
            <w:r>
              <w:rPr>
                <w:rFonts w:hint="eastAsia" w:ascii="宋体" w:hAnsi="宋体" w:cs="宋体"/>
                <w:color w:val="auto"/>
                <w:kern w:val="0"/>
                <w:sz w:val="24"/>
                <w:highlight w:val="none"/>
                <w:lang w:eastAsia="zh-CN"/>
              </w:rPr>
              <w:t>详见第一章投标邀请</w:t>
            </w:r>
          </w:p>
        </w:tc>
      </w:tr>
      <w:tr w14:paraId="26A5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D98828B">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5</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1468B49E">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78BC6861">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投标保证金: </w:t>
            </w:r>
          </w:p>
          <w:p w14:paraId="3C6A7E66">
            <w:pPr>
              <w:shd w:val="clear" w:color="auto" w:fill="auto"/>
              <w:snapToGrid w:val="0"/>
              <w:spacing w:line="400" w:lineRule="exact"/>
              <w:ind w:firstLine="361" w:firstLineChars="150"/>
              <w:rPr>
                <w:rStyle w:val="44"/>
                <w:rFonts w:ascii="宋体" w:hAnsi="宋体"/>
                <w:color w:val="auto"/>
                <w:sz w:val="24"/>
                <w:szCs w:val="24"/>
                <w:highlight w:val="none"/>
              </w:rPr>
            </w:pPr>
            <w:r>
              <w:rPr>
                <w:rStyle w:val="44"/>
                <w:rFonts w:hint="eastAsia" w:ascii="宋体" w:hAnsi="宋体"/>
                <w:b/>
                <w:bCs/>
                <w:color w:val="auto"/>
                <w:sz w:val="24"/>
                <w:szCs w:val="24"/>
                <w:highlight w:val="none"/>
                <w:lang w:eastAsia="zh-CN"/>
              </w:rPr>
              <w:t>合同包</w:t>
            </w:r>
            <w:r>
              <w:rPr>
                <w:rStyle w:val="44"/>
                <w:rFonts w:hint="eastAsia" w:ascii="宋体" w:hAnsi="宋体"/>
                <w:b/>
                <w:bCs/>
                <w:color w:val="auto"/>
                <w:sz w:val="24"/>
                <w:szCs w:val="24"/>
                <w:highlight w:val="none"/>
                <w:lang w:val="en-US" w:eastAsia="zh-CN"/>
              </w:rPr>
              <w:t>1投标保证金29000元</w:t>
            </w:r>
            <w:r>
              <w:rPr>
                <w:rStyle w:val="44"/>
                <w:rFonts w:hint="eastAsia" w:ascii="宋体" w:hAnsi="宋体"/>
                <w:color w:val="auto"/>
                <w:sz w:val="24"/>
                <w:szCs w:val="24"/>
                <w:highlight w:val="none"/>
                <w:lang w:val="en-US" w:eastAsia="zh-CN"/>
              </w:rPr>
              <w:t>，</w:t>
            </w:r>
            <w:r>
              <w:rPr>
                <w:rStyle w:val="44"/>
                <w:rFonts w:ascii="宋体" w:hAnsi="宋体"/>
                <w:color w:val="auto"/>
                <w:sz w:val="24"/>
                <w:szCs w:val="24"/>
                <w:highlight w:val="none"/>
              </w:rPr>
              <w:t>投标人必须从本单位的基本账户或一般性存款账户以转账支票、电汇、网上银行等方式（现金、个人网上银行除外），在投标截止时间前，向</w:t>
            </w:r>
            <w:r>
              <w:rPr>
                <w:rStyle w:val="44"/>
                <w:rFonts w:hint="eastAsia" w:ascii="宋体" w:hAnsi="宋体"/>
                <w:color w:val="auto"/>
                <w:sz w:val="24"/>
                <w:szCs w:val="24"/>
                <w:highlight w:val="none"/>
              </w:rPr>
              <w:t>福建方兴</w:t>
            </w:r>
            <w:r>
              <w:rPr>
                <w:rStyle w:val="44"/>
                <w:rFonts w:ascii="宋体" w:hAnsi="宋体"/>
                <w:color w:val="auto"/>
                <w:sz w:val="24"/>
                <w:szCs w:val="24"/>
                <w:highlight w:val="none"/>
              </w:rPr>
              <w:t>招标代理有限公司缴交要求的投标保证金并到账（是否到达指定的存款账户，以招标文件中确定的</w:t>
            </w:r>
            <w:r>
              <w:rPr>
                <w:rStyle w:val="44"/>
                <w:rFonts w:hint="eastAsia" w:ascii="宋体" w:hAnsi="宋体"/>
                <w:color w:val="auto"/>
                <w:sz w:val="24"/>
                <w:szCs w:val="24"/>
                <w:highlight w:val="none"/>
              </w:rPr>
              <w:t>福建方兴</w:t>
            </w:r>
            <w:r>
              <w:rPr>
                <w:rStyle w:val="44"/>
                <w:rFonts w:ascii="宋体" w:hAnsi="宋体"/>
                <w:color w:val="auto"/>
                <w:sz w:val="24"/>
                <w:szCs w:val="24"/>
                <w:highlight w:val="none"/>
              </w:rPr>
              <w:t>招标代理有限公司开户行对账单为准），</w:t>
            </w:r>
            <w:r>
              <w:rPr>
                <w:rStyle w:val="44"/>
                <w:rFonts w:ascii="宋体" w:hAnsi="宋体"/>
                <w:b/>
                <w:bCs/>
                <w:color w:val="auto"/>
                <w:sz w:val="24"/>
                <w:szCs w:val="24"/>
                <w:highlight w:val="none"/>
              </w:rPr>
              <w:t>投标人在缴纳保证金时须在汇款用途或摘要栏上注明所投项目的招标编号。</w:t>
            </w:r>
          </w:p>
        </w:tc>
      </w:tr>
      <w:tr w14:paraId="0EE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D678F2D">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6</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4860158">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55B01C1C">
            <w:pPr>
              <w:shd w:val="clear" w:color="auto" w:fill="auto"/>
              <w:snapToGrid w:val="0"/>
              <w:spacing w:line="400" w:lineRule="exact"/>
              <w:rPr>
                <w:rStyle w:val="44"/>
                <w:rFonts w:hint="eastAsia" w:ascii="宋体" w:hAnsi="宋体"/>
                <w:color w:val="auto"/>
                <w:sz w:val="24"/>
                <w:szCs w:val="24"/>
                <w:highlight w:val="none"/>
              </w:rPr>
            </w:pPr>
            <w:r>
              <w:rPr>
                <w:rStyle w:val="44"/>
                <w:rFonts w:hint="eastAsia" w:ascii="宋体" w:hAnsi="宋体"/>
                <w:color w:val="auto"/>
                <w:sz w:val="24"/>
                <w:szCs w:val="24"/>
                <w:highlight w:val="none"/>
              </w:rPr>
              <w:t>本项目推荐合同包1中标候选人数为</w:t>
            </w:r>
            <w:r>
              <w:rPr>
                <w:rStyle w:val="44"/>
                <w:rFonts w:hint="eastAsia" w:ascii="宋体" w:hAnsi="宋体"/>
                <w:color w:val="auto"/>
                <w:sz w:val="24"/>
                <w:szCs w:val="24"/>
                <w:highlight w:val="none"/>
                <w:lang w:val="en-US" w:eastAsia="zh-CN"/>
              </w:rPr>
              <w:t>1</w:t>
            </w:r>
            <w:r>
              <w:rPr>
                <w:rStyle w:val="44"/>
                <w:rFonts w:hint="eastAsia" w:ascii="宋体" w:hAnsi="宋体"/>
                <w:color w:val="auto"/>
                <w:sz w:val="24"/>
                <w:szCs w:val="24"/>
                <w:highlight w:val="none"/>
              </w:rPr>
              <w:t>家。</w:t>
            </w:r>
          </w:p>
        </w:tc>
      </w:tr>
      <w:tr w14:paraId="1B87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exac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5CF53940">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7</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76AE8475">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19.1</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3BA51699">
            <w:pPr>
              <w:shd w:val="clear" w:color="auto" w:fill="auto"/>
              <w:snapToGrid w:val="0"/>
              <w:spacing w:line="400" w:lineRule="exact"/>
              <w:rPr>
                <w:rStyle w:val="44"/>
                <w:rFonts w:hint="eastAsia" w:ascii="宋体" w:hAnsi="宋体" w:eastAsia="宋体" w:cs="宋体"/>
                <w:color w:val="auto"/>
                <w:sz w:val="24"/>
                <w:szCs w:val="24"/>
                <w:highlight w:val="none"/>
              </w:rPr>
            </w:pPr>
            <w:r>
              <w:rPr>
                <w:rStyle w:val="44"/>
                <w:rFonts w:hint="eastAsia" w:ascii="宋体" w:hAnsi="宋体" w:eastAsia="宋体" w:cs="宋体"/>
                <w:color w:val="auto"/>
                <w:sz w:val="24"/>
                <w:szCs w:val="24"/>
                <w:highlight w:val="none"/>
              </w:rPr>
              <w:t>1、本项目</w:t>
            </w:r>
            <w:r>
              <w:rPr>
                <w:rStyle w:val="44"/>
                <w:rFonts w:hint="eastAsia" w:ascii="宋体" w:hAnsi="宋体" w:eastAsia="宋体" w:cs="宋体"/>
                <w:color w:val="auto"/>
                <w:sz w:val="24"/>
                <w:szCs w:val="24"/>
                <w:highlight w:val="none"/>
                <w:lang w:eastAsia="zh-CN"/>
              </w:rPr>
              <w:t>评标方法和标准</w:t>
            </w:r>
            <w:r>
              <w:rPr>
                <w:rStyle w:val="44"/>
                <w:rFonts w:hint="eastAsia" w:ascii="宋体" w:hAnsi="宋体" w:eastAsia="宋体" w:cs="宋体"/>
                <w:color w:val="auto"/>
                <w:sz w:val="24"/>
                <w:szCs w:val="24"/>
                <w:highlight w:val="none"/>
              </w:rPr>
              <w:t>详见附件A。</w:t>
            </w:r>
          </w:p>
          <w:p w14:paraId="47E74B1C">
            <w:pPr>
              <w:shd w:val="clear" w:color="auto" w:fill="auto"/>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2、本项目确定的中标人家数：</w:t>
            </w:r>
          </w:p>
          <w:p w14:paraId="4FC8B08A">
            <w:pPr>
              <w:shd w:val="clear" w:color="auto" w:fill="auto"/>
              <w:snapToGrid w:val="0"/>
              <w:spacing w:line="400" w:lineRule="exact"/>
              <w:rPr>
                <w:rStyle w:val="44"/>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rPr>
              <w:t>本项目确定合同包1中标人数为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w:t>
            </w:r>
          </w:p>
        </w:tc>
      </w:tr>
      <w:tr w14:paraId="159C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254ACAC">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8</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2C025FA">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798A78AE">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招标项目监督部门：</w:t>
            </w:r>
            <w:r>
              <w:rPr>
                <w:rStyle w:val="44"/>
                <w:rFonts w:hint="eastAsia" w:ascii="宋体" w:hAnsi="宋体"/>
                <w:color w:val="auto"/>
                <w:sz w:val="24"/>
                <w:szCs w:val="24"/>
                <w:highlight w:val="none"/>
              </w:rPr>
              <w:t>景弘集团有限公司监事会</w:t>
            </w:r>
          </w:p>
        </w:tc>
      </w:tr>
      <w:tr w14:paraId="7179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395EA7D">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hint="eastAsia" w:ascii="宋体" w:hAnsi="宋体"/>
                <w:color w:val="auto"/>
                <w:sz w:val="24"/>
                <w:szCs w:val="24"/>
                <w:highlight w:val="none"/>
                <w:lang w:val="en-US" w:eastAsia="zh-CN"/>
              </w:rPr>
              <w:t>9</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2CA882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13.1</w:t>
            </w:r>
          </w:p>
          <w:p w14:paraId="42A17A26">
            <w:pPr>
              <w:shd w:val="clear" w:color="auto" w:fill="auto"/>
              <w:snapToGrid w:val="0"/>
              <w:jc w:val="center"/>
              <w:rPr>
                <w:rStyle w:val="44"/>
                <w:rFonts w:ascii="宋体" w:hAnsi="宋体"/>
                <w:b/>
                <w:color w:val="auto"/>
                <w:sz w:val="24"/>
                <w:szCs w:val="24"/>
                <w:highlight w:val="none"/>
              </w:rPr>
            </w:pPr>
            <w:r>
              <w:rPr>
                <w:rStyle w:val="44"/>
                <w:rFonts w:ascii="宋体" w:hAnsi="宋体"/>
                <w:color w:val="auto"/>
                <w:sz w:val="24"/>
                <w:szCs w:val="24"/>
                <w:highlight w:val="none"/>
              </w:rPr>
              <w:t>13.8</w:t>
            </w: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0A3419A4">
            <w:pPr>
              <w:shd w:val="clear" w:color="auto" w:fill="auto"/>
              <w:snapToGrid w:val="0"/>
              <w:spacing w:line="400" w:lineRule="exact"/>
              <w:rPr>
                <w:rStyle w:val="44"/>
                <w:rFonts w:ascii="宋体" w:hAnsi="宋体"/>
                <w:b/>
                <w:color w:val="auto"/>
                <w:sz w:val="24"/>
                <w:szCs w:val="24"/>
                <w:highlight w:val="none"/>
              </w:rPr>
            </w:pPr>
            <w:r>
              <w:rPr>
                <w:rStyle w:val="44"/>
                <w:rFonts w:ascii="宋体" w:hAnsi="宋体"/>
                <w:b/>
                <w:color w:val="auto"/>
                <w:sz w:val="24"/>
                <w:szCs w:val="24"/>
                <w:highlight w:val="none"/>
              </w:rPr>
              <w:t>1、本项目实行两阶段评标。投标人的投标文件由技术商务标和报价标两部分组成，并按以下要求制作，否则视为无效投标：</w:t>
            </w:r>
          </w:p>
          <w:p w14:paraId="7C07CD4D">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（1）投标文件的</w:t>
            </w:r>
            <w:r>
              <w:rPr>
                <w:rStyle w:val="44"/>
                <w:rFonts w:ascii="宋体" w:hAnsi="宋体"/>
                <w:b/>
                <w:bCs/>
                <w:color w:val="auto"/>
                <w:sz w:val="24"/>
                <w:szCs w:val="24"/>
                <w:highlight w:val="none"/>
              </w:rPr>
              <w:t>技术商务标须提供正本壹份，副本伍份</w:t>
            </w:r>
            <w:r>
              <w:rPr>
                <w:rStyle w:val="44"/>
                <w:rFonts w:ascii="宋体" w:hAnsi="宋体"/>
                <w:color w:val="auto"/>
                <w:sz w:val="24"/>
                <w:szCs w:val="24"/>
                <w:highlight w:val="none"/>
              </w:rPr>
              <w:t>，正本必须用A4幅面纸张打印装订，副本可以用正本的完整复印件，并在封面标明“正本”、“副本”字样。正本与副本如有不一致，则以正本为准。投标文件技术商务标正副本</w:t>
            </w:r>
            <w:r>
              <w:rPr>
                <w:rStyle w:val="44"/>
                <w:rFonts w:ascii="宋体" w:hAnsi="宋体"/>
                <w:b/>
                <w:color w:val="auto"/>
                <w:sz w:val="24"/>
                <w:szCs w:val="24"/>
                <w:highlight w:val="none"/>
              </w:rPr>
              <w:t>必须胶装成册（为永久性、无破坏不可拆分）并加盖投标单位公章和骑缝章。</w:t>
            </w:r>
            <w:r>
              <w:rPr>
                <w:rStyle w:val="44"/>
                <w:rFonts w:ascii="宋体" w:hAnsi="宋体"/>
                <w:color w:val="auto"/>
                <w:sz w:val="24"/>
                <w:szCs w:val="24"/>
                <w:highlight w:val="none"/>
              </w:rPr>
              <w:t>技术商务标中不再附与投标总价有关的材料。</w:t>
            </w:r>
          </w:p>
          <w:p w14:paraId="12DDFE14">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（2）投标文件的报价标须装订后单独密封</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含开标一览表、投标分项报价表</w:t>
            </w:r>
            <w:r>
              <w:rPr>
                <w:rStyle w:val="44"/>
                <w:rFonts w:hint="eastAsia" w:ascii="宋体" w:hAnsi="宋体"/>
                <w:color w:val="auto"/>
                <w:sz w:val="24"/>
                <w:szCs w:val="24"/>
                <w:highlight w:val="none"/>
                <w:lang w:eastAsia="zh-CN"/>
              </w:rPr>
              <w:t>（若有）</w:t>
            </w:r>
            <w:r>
              <w:rPr>
                <w:rStyle w:val="44"/>
                <w:rFonts w:ascii="宋体" w:hAnsi="宋体"/>
                <w:color w:val="auto"/>
                <w:sz w:val="24"/>
                <w:szCs w:val="24"/>
                <w:highlight w:val="none"/>
              </w:rPr>
              <w:t>及所有涉及投标报价部分的资料</w:t>
            </w:r>
            <w:r>
              <w:rPr>
                <w:rStyle w:val="44"/>
                <w:rFonts w:hint="eastAsia" w:ascii="宋体" w:hAnsi="宋体"/>
                <w:color w:val="auto"/>
                <w:sz w:val="24"/>
                <w:szCs w:val="24"/>
                <w:highlight w:val="none"/>
                <w:lang w:eastAsia="zh-CN"/>
              </w:rPr>
              <w:t>（若有）】</w:t>
            </w:r>
            <w:r>
              <w:rPr>
                <w:rStyle w:val="44"/>
                <w:rFonts w:ascii="宋体" w:hAnsi="宋体"/>
                <w:color w:val="auto"/>
                <w:sz w:val="24"/>
                <w:szCs w:val="24"/>
                <w:highlight w:val="none"/>
              </w:rPr>
              <w:t>，并加盖投标单位公章。【正本壹份，副本贰份，并在封面标明“正本”、“副本”字样，正本与副本如有不一致，则以正本为准。】</w:t>
            </w:r>
          </w:p>
          <w:p w14:paraId="6F1BDD91">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（3）电子文件，投标人必须随投标书同时提交</w:t>
            </w:r>
            <w:r>
              <w:rPr>
                <w:rStyle w:val="44"/>
                <w:rFonts w:ascii="宋体" w:hAnsi="宋体"/>
                <w:color w:val="auto"/>
                <w:sz w:val="24"/>
                <w:szCs w:val="24"/>
                <w:highlight w:val="none"/>
                <w:u w:val="single" w:color="000000"/>
              </w:rPr>
              <w:t>一套全部投标文件内容的电子文件（U盘或光盘，无病毒）</w:t>
            </w:r>
            <w:r>
              <w:rPr>
                <w:rStyle w:val="44"/>
                <w:rFonts w:ascii="宋体" w:hAnsi="宋体"/>
                <w:color w:val="auto"/>
                <w:sz w:val="24"/>
                <w:szCs w:val="24"/>
                <w:highlight w:val="none"/>
              </w:rPr>
              <w:t>，其中所有文件不做压缩处理、不留密码，资质文件和证书等可用扫描以图片方式保存。</w:t>
            </w:r>
          </w:p>
          <w:p w14:paraId="5B329BCE">
            <w:pPr>
              <w:shd w:val="clear" w:color="auto" w:fill="auto"/>
              <w:snapToGrid w:val="0"/>
              <w:spacing w:line="400" w:lineRule="exact"/>
              <w:rPr>
                <w:rStyle w:val="44"/>
                <w:rFonts w:ascii="宋体" w:hAnsi="宋体"/>
                <w:b/>
                <w:color w:val="auto"/>
                <w:sz w:val="24"/>
                <w:szCs w:val="24"/>
                <w:highlight w:val="none"/>
              </w:rPr>
            </w:pPr>
            <w:r>
              <w:rPr>
                <w:rStyle w:val="44"/>
                <w:rFonts w:ascii="宋体" w:hAnsi="宋体"/>
                <w:color w:val="auto"/>
                <w:sz w:val="24"/>
                <w:szCs w:val="24"/>
                <w:highlight w:val="none"/>
              </w:rPr>
              <w:t>2、所有资格证明文件复印件均须在有效期内，</w:t>
            </w:r>
            <w:r>
              <w:rPr>
                <w:rStyle w:val="44"/>
                <w:rFonts w:ascii="宋体" w:hAnsi="宋体"/>
                <w:b/>
                <w:color w:val="auto"/>
                <w:sz w:val="24"/>
                <w:szCs w:val="24"/>
                <w:highlight w:val="none"/>
                <w:shd w:val="pct10" w:color="auto" w:fill="FFFFFF"/>
              </w:rPr>
              <w:t>并加盖投标人公章。</w:t>
            </w:r>
          </w:p>
        </w:tc>
      </w:tr>
      <w:tr w14:paraId="6378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C95A8A3">
            <w:pPr>
              <w:shd w:val="clear" w:color="auto" w:fill="auto"/>
              <w:snapToGrid w:val="0"/>
              <w:jc w:val="center"/>
              <w:rPr>
                <w:rStyle w:val="44"/>
                <w:rFonts w:hint="default"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10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36F245E9">
            <w:pPr>
              <w:shd w:val="clear" w:color="auto" w:fill="auto"/>
              <w:snapToGrid w:val="0"/>
              <w:jc w:val="center"/>
              <w:rPr>
                <w:rStyle w:val="44"/>
                <w:rFonts w:ascii="宋体" w:hAnsi="宋体"/>
                <w:b/>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2C888195">
            <w:pPr>
              <w:shd w:val="clear" w:color="auto" w:fill="auto"/>
              <w:snapToGrid w:val="0"/>
              <w:spacing w:line="400" w:lineRule="exact"/>
              <w:rPr>
                <w:rStyle w:val="44"/>
                <w:rFonts w:ascii="宋体" w:hAnsi="宋体"/>
                <w:b/>
                <w:color w:val="auto"/>
                <w:sz w:val="24"/>
                <w:szCs w:val="24"/>
                <w:highlight w:val="none"/>
              </w:rPr>
            </w:pPr>
            <w:r>
              <w:rPr>
                <w:rStyle w:val="44"/>
                <w:rFonts w:hint="eastAsia" w:ascii="宋体" w:hAnsi="宋体"/>
                <w:b/>
                <w:color w:val="auto"/>
                <w:sz w:val="24"/>
                <w:szCs w:val="24"/>
                <w:highlight w:val="none"/>
              </w:rPr>
              <w:t>招标代理服务费：</w:t>
            </w:r>
            <w:r>
              <w:rPr>
                <w:rStyle w:val="44"/>
                <w:rFonts w:hint="eastAsia" w:ascii="宋体" w:hAnsi="宋体"/>
                <w:b w:val="0"/>
                <w:bCs/>
                <w:color w:val="auto"/>
                <w:sz w:val="24"/>
                <w:szCs w:val="24"/>
                <w:highlight w:val="none"/>
              </w:rPr>
              <w:t>（1）本项目招标代理服务费由中标人支付。（2）招标代理服务费以中标金额为计算基数，依据差额定率累进法计算，计算标准：中标金额在50万元以下的收费比例为1%；中标金额在50-100万元的收费比例为0.9%；中标金额在100-500万元的收费比例为0.5%。（3）中标人在代理机构发布中标公告后以转账方式一次性付清中标代理服务费。（4）招标代理服务费专用账号：117010100100003202；开户名称：福建方兴招标代理有限公司；开户行：兴业银行股份有限公司福州总行大厦营业部。</w:t>
            </w:r>
          </w:p>
        </w:tc>
      </w:tr>
      <w:tr w14:paraId="4596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780D6A57">
            <w:pPr>
              <w:shd w:val="clear" w:color="auto" w:fill="auto"/>
              <w:snapToGrid w:val="0"/>
              <w:jc w:val="center"/>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1</w:t>
            </w:r>
            <w:r>
              <w:rPr>
                <w:rStyle w:val="44"/>
                <w:rFonts w:hint="eastAsia" w:ascii="宋体" w:hAnsi="宋体"/>
                <w:color w:val="auto"/>
                <w:sz w:val="24"/>
                <w:szCs w:val="24"/>
                <w:highlight w:val="none"/>
                <w:lang w:val="en-US" w:eastAsia="zh-CN"/>
              </w:rPr>
              <w:t>1</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D9FC7F3">
            <w:pPr>
              <w:shd w:val="clear" w:color="auto" w:fill="auto"/>
              <w:snapToGrid w:val="0"/>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A6992E1">
            <w:pPr>
              <w:shd w:val="clear" w:color="auto" w:fill="auto"/>
              <w:snapToGrid w:val="0"/>
              <w:spacing w:line="400" w:lineRule="exact"/>
              <w:rPr>
                <w:rStyle w:val="44"/>
                <w:rFonts w:ascii="宋体" w:hAnsi="宋体"/>
                <w:b/>
                <w:color w:val="auto"/>
                <w:sz w:val="24"/>
                <w:szCs w:val="24"/>
                <w:highlight w:val="none"/>
              </w:rPr>
            </w:pPr>
            <w:r>
              <w:rPr>
                <w:rStyle w:val="44"/>
                <w:rFonts w:ascii="宋体" w:hAnsi="宋体"/>
                <w:b/>
                <w:color w:val="auto"/>
                <w:sz w:val="24"/>
                <w:szCs w:val="24"/>
                <w:highlight w:val="none"/>
              </w:rPr>
              <w:t>其他重要须知：</w:t>
            </w:r>
          </w:p>
          <w:p w14:paraId="663AED9F">
            <w:pPr>
              <w:shd w:val="clear" w:color="auto" w:fill="auto"/>
              <w:snapToGrid w:val="0"/>
              <w:spacing w:line="400" w:lineRule="exact"/>
              <w:rPr>
                <w:rStyle w:val="44"/>
                <w:rFonts w:ascii="宋体" w:hAnsi="宋体"/>
                <w:b/>
                <w:color w:val="auto"/>
                <w:sz w:val="24"/>
                <w:szCs w:val="24"/>
                <w:highlight w:val="none"/>
              </w:rPr>
            </w:pPr>
            <w:r>
              <w:rPr>
                <w:rStyle w:val="44"/>
                <w:rFonts w:ascii="宋体" w:hAnsi="宋体"/>
                <w:b/>
                <w:color w:val="auto"/>
                <w:sz w:val="24"/>
                <w:szCs w:val="24"/>
                <w:highlight w:val="none"/>
              </w:rPr>
              <w:t>投标人必须对其投标文件中提供各种资料、说明的真实性负责。在评标过程中，如有发现投标人有为谋取中标而提供虚假资料欺骗招标人和评委的行为，将取消其投标资格，其投标保证金将不予退还。若在中标后和执行合同过程中发现其提供虚假资料的将取消其中标资格，其保证金将不予退还，且已投资改造装修费用不予退还，给招标人造成损失的，还必须进行赔偿并负相关责任。评标过程中无论是否有对原件进行核实，投标人都必须对其提供各种资料、说明的真实性负责。</w:t>
            </w:r>
          </w:p>
          <w:p w14:paraId="01CB26DA">
            <w:pPr>
              <w:shd w:val="clear" w:color="auto" w:fill="auto"/>
              <w:snapToGrid w:val="0"/>
              <w:spacing w:line="400" w:lineRule="exact"/>
              <w:rPr>
                <w:rStyle w:val="44"/>
                <w:rFonts w:ascii="宋体" w:hAnsi="宋体"/>
                <w:color w:val="auto"/>
                <w:sz w:val="24"/>
                <w:szCs w:val="24"/>
                <w:highlight w:val="none"/>
              </w:rPr>
            </w:pPr>
          </w:p>
        </w:tc>
      </w:tr>
      <w:tr w14:paraId="5E70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4A4B25E">
            <w:pPr>
              <w:pStyle w:val="22"/>
              <w:spacing w:before="0" w:beforeAutospacing="0" w:after="0" w:afterAutospacing="0" w:line="440" w:lineRule="exact"/>
              <w:jc w:val="center"/>
              <w:rPr>
                <w:rStyle w:val="44"/>
                <w:rFonts w:hint="eastAsia" w:ascii="宋体" w:hAnsi="宋体" w:eastAsia="宋体"/>
                <w:color w:val="auto"/>
                <w:sz w:val="24"/>
                <w:szCs w:val="24"/>
                <w:highlight w:val="none"/>
                <w:lang w:eastAsia="zh-CN"/>
              </w:rPr>
            </w:pPr>
            <w:r>
              <w:rPr>
                <w:rFonts w:hint="eastAsia"/>
                <w:color w:val="auto"/>
                <w:highlight w:val="none"/>
              </w:rPr>
              <w:t>1</w:t>
            </w:r>
            <w:r>
              <w:rPr>
                <w:rFonts w:hint="eastAsia"/>
                <w:color w:val="auto"/>
                <w:highlight w:val="none"/>
                <w:lang w:val="en-US" w:eastAsia="zh-CN"/>
              </w:rPr>
              <w:t>2</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0DDD3E6A">
            <w:pPr>
              <w:pStyle w:val="22"/>
              <w:spacing w:before="0" w:beforeAutospacing="0" w:after="0" w:afterAutospacing="0" w:line="440" w:lineRule="exact"/>
              <w:jc w:val="center"/>
              <w:rPr>
                <w:rStyle w:val="44"/>
                <w:rFonts w:ascii="宋体" w:hAnsi="宋体"/>
                <w:color w:val="auto"/>
                <w:sz w:val="24"/>
                <w:szCs w:val="24"/>
                <w:highlight w:val="none"/>
              </w:rPr>
            </w:pPr>
          </w:p>
        </w:tc>
        <w:tc>
          <w:tcPr>
            <w:tcW w:w="8464" w:type="dxa"/>
            <w:tcBorders>
              <w:top w:val="single" w:color="000000" w:sz="4" w:space="0"/>
              <w:left w:val="single" w:color="000000" w:sz="4" w:space="0"/>
              <w:bottom w:val="single" w:color="000000" w:sz="4" w:space="0"/>
              <w:right w:val="single" w:color="000000" w:sz="4" w:space="0"/>
            </w:tcBorders>
            <w:noWrap w:val="0"/>
            <w:vAlign w:val="center"/>
          </w:tcPr>
          <w:p w14:paraId="44CAC37A">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现场勘察：</w:t>
            </w:r>
          </w:p>
          <w:p w14:paraId="402A3E86">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（1）各潜在投标人可自愿进行现场勘察。</w:t>
            </w:r>
            <w:r>
              <w:rPr>
                <w:rFonts w:hint="eastAsia" w:ascii="宋体" w:hAnsi="宋体" w:cs="宋体"/>
                <w:b/>
                <w:bCs/>
                <w:color w:val="auto"/>
                <w:sz w:val="24"/>
                <w:highlight w:val="none"/>
              </w:rPr>
              <w:t>勘察时间：本项目报名截止时间后第一个工作日上午9:00</w:t>
            </w:r>
            <w:r>
              <w:rPr>
                <w:rFonts w:hint="eastAsia" w:ascii="宋体" w:hAnsi="宋体" w:cs="宋体"/>
                <w:b/>
                <w:bCs/>
                <w:color w:val="auto"/>
                <w:sz w:val="24"/>
                <w:highlight w:val="none"/>
                <w:lang w:eastAsia="zh-CN"/>
              </w:rPr>
              <w:t>集合勘察</w:t>
            </w:r>
            <w:r>
              <w:rPr>
                <w:rFonts w:hint="eastAsia" w:ascii="宋体" w:hAnsi="宋体" w:cs="宋体"/>
                <w:b/>
                <w:bCs/>
                <w:color w:val="auto"/>
                <w:sz w:val="24"/>
                <w:highlight w:val="none"/>
              </w:rPr>
              <w:t>，逾期不予接待。</w:t>
            </w:r>
          </w:p>
          <w:p w14:paraId="581F4284">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（2）地址：</w:t>
            </w:r>
            <w:r>
              <w:rPr>
                <w:rFonts w:hint="default" w:ascii="宋体" w:eastAsia="宋体" w:cs="宋体"/>
                <w:color w:val="auto"/>
                <w:kern w:val="0"/>
                <w:sz w:val="24"/>
                <w:highlight w:val="none"/>
                <w:lang w:val="en-US" w:eastAsia="zh-CN"/>
              </w:rPr>
              <w:t>福州市鼓楼区杨桥中路146号</w:t>
            </w:r>
            <w:r>
              <w:rPr>
                <w:rFonts w:hint="eastAsia" w:ascii="宋体" w:hAnsi="宋体" w:cs="宋体"/>
                <w:color w:val="auto"/>
                <w:sz w:val="24"/>
                <w:highlight w:val="none"/>
              </w:rPr>
              <w:t>；</w:t>
            </w:r>
            <w:r>
              <w:rPr>
                <w:rFonts w:hint="eastAsia" w:ascii="宋体" w:hAnsi="宋体" w:cs="宋体"/>
                <w:color w:val="auto"/>
                <w:sz w:val="24"/>
                <w:highlight w:val="none"/>
                <w:lang w:val="zh-CN"/>
              </w:rPr>
              <w:t>联系人：</w:t>
            </w:r>
            <w:r>
              <w:rPr>
                <w:rFonts w:hint="eastAsia" w:ascii="宋体" w:hAnsi="宋体" w:cs="宋体"/>
                <w:color w:val="auto"/>
                <w:sz w:val="24"/>
                <w:highlight w:val="none"/>
                <w:lang w:eastAsia="zh-CN"/>
              </w:rPr>
              <w:t>林警官</w:t>
            </w:r>
            <w:r>
              <w:rPr>
                <w:rFonts w:hint="eastAsia" w:ascii="宋体" w:hAnsi="宋体" w:cs="宋体"/>
                <w:color w:val="auto"/>
                <w:sz w:val="24"/>
                <w:highlight w:val="none"/>
              </w:rPr>
              <w:t>；</w:t>
            </w:r>
            <w:r>
              <w:rPr>
                <w:rFonts w:hint="eastAsia" w:ascii="宋体" w:hAnsi="宋体" w:cs="宋体"/>
                <w:color w:val="auto"/>
                <w:sz w:val="24"/>
                <w:highlight w:val="none"/>
                <w:lang w:val="zh-CN"/>
              </w:rPr>
              <w:t>联系电话：</w:t>
            </w:r>
            <w:r>
              <w:rPr>
                <w:rFonts w:hint="default" w:ascii="宋体" w:eastAsia="宋体" w:cs="宋体"/>
                <w:color w:val="auto"/>
                <w:kern w:val="0"/>
                <w:sz w:val="24"/>
                <w:highlight w:val="none"/>
                <w:lang w:val="en-US" w:eastAsia="zh-CN"/>
              </w:rPr>
              <w:t>0591-87020809</w:t>
            </w:r>
            <w:r>
              <w:rPr>
                <w:rFonts w:hint="eastAsia" w:ascii="宋体" w:hAnsi="宋体" w:cs="宋体"/>
                <w:color w:val="auto"/>
                <w:sz w:val="24"/>
                <w:highlight w:val="none"/>
              </w:rPr>
              <w:t>。</w:t>
            </w:r>
          </w:p>
          <w:p w14:paraId="7E5FE556">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（3）潜在投标人进行现场勘察时</w:t>
            </w:r>
            <w:r>
              <w:rPr>
                <w:rFonts w:hint="eastAsia" w:ascii="宋体" w:hAnsi="宋体" w:cs="宋体"/>
                <w:b/>
                <w:bCs/>
                <w:color w:val="auto"/>
                <w:sz w:val="24"/>
                <w:highlight w:val="none"/>
              </w:rPr>
              <w:t>应携带</w:t>
            </w:r>
            <w:r>
              <w:rPr>
                <w:rFonts w:hint="eastAsia" w:ascii="宋体" w:hAnsi="宋体" w:cs="宋体"/>
                <w:b/>
                <w:bCs/>
                <w:color w:val="auto"/>
                <w:sz w:val="24"/>
                <w:highlight w:val="none"/>
                <w:lang w:eastAsia="zh-CN"/>
              </w:rPr>
              <w:t>介绍信及身份复印件</w:t>
            </w:r>
            <w:r>
              <w:rPr>
                <w:rFonts w:hint="eastAsia" w:ascii="宋体" w:hAnsi="宋体" w:cs="宋体"/>
                <w:b/>
                <w:bCs/>
                <w:color w:val="auto"/>
                <w:sz w:val="24"/>
                <w:highlight w:val="none"/>
              </w:rPr>
              <w:t>。</w:t>
            </w:r>
            <w:r>
              <w:rPr>
                <w:rFonts w:hint="eastAsia" w:ascii="宋体" w:hAnsi="宋体" w:cs="宋体"/>
                <w:color w:val="auto"/>
                <w:sz w:val="24"/>
                <w:highlight w:val="none"/>
              </w:rPr>
              <w:t>不接受资料不全的潜在投标人现场勘察。</w:t>
            </w:r>
          </w:p>
          <w:p w14:paraId="0078167B">
            <w:pPr>
              <w:tabs>
                <w:tab w:val="left" w:pos="2775"/>
              </w:tabs>
              <w:spacing w:line="360" w:lineRule="auto"/>
              <w:rPr>
                <w:rFonts w:ascii="宋体" w:hAnsi="宋体" w:cs="宋体"/>
                <w:color w:val="auto"/>
                <w:sz w:val="24"/>
                <w:highlight w:val="none"/>
              </w:rPr>
            </w:pPr>
            <w:r>
              <w:rPr>
                <w:rFonts w:hint="eastAsia" w:ascii="宋体" w:hAnsi="宋体" w:cs="宋体"/>
                <w:color w:val="auto"/>
                <w:sz w:val="24"/>
                <w:highlight w:val="none"/>
              </w:rPr>
              <w:t>（4）招标人对投标人实地勘察后做出的任何推论、理解和结论均不负责任，勘察现场所发生的费用由潜在投标人自行承担。若未现场勘察，对于</w:t>
            </w:r>
            <w:r>
              <w:rPr>
                <w:rFonts w:hint="eastAsia" w:ascii="宋体" w:hAnsi="宋体" w:cs="宋体"/>
                <w:color w:val="auto"/>
                <w:sz w:val="24"/>
                <w:highlight w:val="none"/>
                <w:lang w:eastAsia="zh-CN"/>
              </w:rPr>
              <w:t>本项目理解不充分</w:t>
            </w:r>
            <w:r>
              <w:rPr>
                <w:rFonts w:hint="eastAsia" w:ascii="宋体" w:hAnsi="宋体" w:cs="宋体"/>
                <w:color w:val="auto"/>
                <w:sz w:val="24"/>
                <w:highlight w:val="none"/>
              </w:rPr>
              <w:t>等原因造成费用增加、或对招标人的需求理解有偏差造成的未实质性应答均由中标人承担。</w:t>
            </w:r>
          </w:p>
          <w:p w14:paraId="5A3368AD">
            <w:pPr>
              <w:pStyle w:val="22"/>
              <w:spacing w:before="0" w:beforeAutospacing="0" w:after="0" w:afterAutospacing="0" w:line="400" w:lineRule="exact"/>
              <w:rPr>
                <w:rStyle w:val="44"/>
                <w:rFonts w:ascii="宋体" w:hAnsi="宋体"/>
                <w:color w:val="auto"/>
                <w:sz w:val="24"/>
                <w:szCs w:val="24"/>
                <w:highlight w:val="none"/>
              </w:rPr>
            </w:pPr>
            <w:r>
              <w:rPr>
                <w:rFonts w:hint="eastAsia"/>
                <w:color w:val="auto"/>
                <w:kern w:val="2"/>
                <w:highlight w:val="none"/>
              </w:rPr>
              <w:t>（5）</w:t>
            </w:r>
            <w:r>
              <w:rPr>
                <w:rFonts w:hint="eastAsia"/>
                <w:color w:val="auto"/>
                <w:highlight w:val="none"/>
              </w:rPr>
              <w:t>勘察现场时，投标人应仔细了解情况，并充分了解自己承担的风险、义务和责任。在勘察现场过程中，投标人要注意安全，防止安全事故发生，如有意外，安全责任自负。</w:t>
            </w:r>
          </w:p>
        </w:tc>
      </w:tr>
    </w:tbl>
    <w:p w14:paraId="66E29A98">
      <w:pPr>
        <w:shd w:val="clear" w:color="auto" w:fill="auto"/>
        <w:snapToGrid w:val="0"/>
        <w:spacing w:line="420" w:lineRule="exact"/>
        <w:rPr>
          <w:rStyle w:val="44"/>
          <w:rFonts w:ascii="宋体" w:hAnsi="宋体"/>
          <w:color w:val="auto"/>
          <w:sz w:val="24"/>
          <w:szCs w:val="24"/>
          <w:highlight w:val="none"/>
        </w:rPr>
      </w:pPr>
    </w:p>
    <w:p w14:paraId="36C842FF">
      <w:pPr>
        <w:shd w:val="clear" w:color="auto" w:fill="auto"/>
        <w:snapToGrid w:val="0"/>
        <w:spacing w:line="420" w:lineRule="exact"/>
        <w:rPr>
          <w:rStyle w:val="44"/>
          <w:rFonts w:ascii="宋体" w:hAnsi="宋体"/>
          <w:color w:val="auto"/>
          <w:sz w:val="24"/>
          <w:szCs w:val="24"/>
          <w:highlight w:val="none"/>
        </w:rPr>
      </w:pPr>
    </w:p>
    <w:p w14:paraId="7BB3961F">
      <w:pPr>
        <w:shd w:val="clear" w:color="auto" w:fill="auto"/>
        <w:snapToGrid w:val="0"/>
        <w:spacing w:line="420" w:lineRule="exact"/>
        <w:ind w:firstLine="480" w:firstLineChars="200"/>
        <w:rPr>
          <w:rStyle w:val="44"/>
          <w:rFonts w:ascii="宋体" w:hAnsi="宋体" w:cs="宋体"/>
          <w:bCs/>
          <w:color w:val="auto"/>
          <w:sz w:val="24"/>
          <w:szCs w:val="24"/>
          <w:highlight w:val="none"/>
        </w:rPr>
      </w:pPr>
      <w:r>
        <w:rPr>
          <w:rStyle w:val="44"/>
          <w:rFonts w:ascii="宋体" w:hAnsi="宋体" w:cs="宋体"/>
          <w:bCs/>
          <w:color w:val="auto"/>
          <w:sz w:val="24"/>
          <w:szCs w:val="24"/>
          <w:highlight w:val="none"/>
        </w:rPr>
        <w:t>评标工作将遵循“公开、公平、公正”和“诚实信用”的原则。评标委员会将按照规定对各投标人的投标文件采用相同的程序和标准进行评价和比较，评议过程严格按照招标文件的要求和条件进行。</w:t>
      </w:r>
    </w:p>
    <w:p w14:paraId="14F9B340">
      <w:pPr>
        <w:pStyle w:val="4"/>
        <w:bidi w:val="0"/>
        <w:jc w:val="left"/>
        <w:rPr>
          <w:rStyle w:val="44"/>
          <w:rFonts w:hint="eastAsia" w:ascii="宋体" w:hAnsi="宋体" w:eastAsia="宋体"/>
          <w:b/>
          <w:color w:val="auto"/>
          <w:sz w:val="24"/>
          <w:szCs w:val="24"/>
          <w:highlight w:val="none"/>
          <w:lang w:eastAsia="zh-CN"/>
        </w:rPr>
      </w:pPr>
      <w:bookmarkStart w:id="39" w:name="_Toc28720"/>
      <w:r>
        <w:rPr>
          <w:rStyle w:val="44"/>
          <w:rFonts w:ascii="宋体" w:hAnsi="宋体"/>
          <w:b/>
          <w:color w:val="auto"/>
          <w:kern w:val="0"/>
          <w:sz w:val="24"/>
          <w:szCs w:val="24"/>
          <w:highlight w:val="none"/>
        </w:rPr>
        <w:t>附件A：</w:t>
      </w:r>
      <w:r>
        <w:rPr>
          <w:rStyle w:val="44"/>
          <w:rFonts w:hint="eastAsia" w:ascii="宋体" w:hAnsi="宋体" w:eastAsia="宋体"/>
          <w:b/>
          <w:color w:val="auto"/>
          <w:sz w:val="24"/>
          <w:szCs w:val="24"/>
          <w:highlight w:val="none"/>
          <w:lang w:eastAsia="zh-CN"/>
        </w:rPr>
        <w:t>评标方法和标准</w:t>
      </w:r>
      <w:bookmarkEnd w:id="39"/>
    </w:p>
    <w:p w14:paraId="728B7B4B">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本项目</w:t>
      </w:r>
      <w:r>
        <w:rPr>
          <w:rStyle w:val="44"/>
          <w:rFonts w:ascii="宋体" w:hAnsi="宋体" w:cs="宋体"/>
          <w:b/>
          <w:bCs/>
          <w:color w:val="auto"/>
          <w:sz w:val="24"/>
          <w:szCs w:val="24"/>
          <w:highlight w:val="none"/>
        </w:rPr>
        <w:t>采用综合评分法</w:t>
      </w:r>
      <w:r>
        <w:rPr>
          <w:rStyle w:val="44"/>
          <w:rFonts w:ascii="宋体" w:hAnsi="宋体"/>
          <w:color w:val="auto"/>
          <w:sz w:val="24"/>
          <w:szCs w:val="24"/>
          <w:highlight w:val="none"/>
        </w:rPr>
        <w:t>，评标委员会将对通过资格及实质性响应性审查的各合格投标人根据以下标准和方法进行评议和评分。评标委员会将严格按照招标文件的要求实行两阶段评标，第一阶段技术商务部分评标（投标报价标部分投标文件在技术商务标部分评分结束前密封保管）；第二阶段投标报价标部分评标。若存在投标人得分相同的情况，则</w:t>
      </w:r>
      <w:r>
        <w:rPr>
          <w:rStyle w:val="44"/>
          <w:rFonts w:ascii="宋体" w:hAnsi="宋体"/>
          <w:b/>
          <w:color w:val="auto"/>
          <w:sz w:val="24"/>
          <w:szCs w:val="24"/>
          <w:highlight w:val="none"/>
          <w:u w:val="single" w:color="FF0000"/>
        </w:rPr>
        <w:t>依次</w:t>
      </w:r>
      <w:r>
        <w:rPr>
          <w:rStyle w:val="44"/>
          <w:rFonts w:ascii="宋体" w:hAnsi="宋体"/>
          <w:color w:val="auto"/>
          <w:sz w:val="24"/>
          <w:szCs w:val="24"/>
          <w:highlight w:val="none"/>
        </w:rPr>
        <w:t>按以下原则确定中标候选顺序：</w:t>
      </w:r>
      <w:r>
        <w:rPr>
          <w:rStyle w:val="44"/>
          <w:rFonts w:hint="eastAsia" w:ascii="宋体" w:hAnsi="宋体" w:eastAsia="宋体"/>
          <w:color w:val="auto"/>
          <w:sz w:val="24"/>
          <w:szCs w:val="24"/>
          <w:highlight w:val="none"/>
        </w:rPr>
        <w:t>①评标总得分相同的，按照投标报价由低到高顺序排列</w:t>
      </w:r>
      <w:r>
        <w:rPr>
          <w:rStyle w:val="44"/>
          <w:rFonts w:hint="eastAsia" w:ascii="宋体" w:hAnsi="宋体" w:eastAsia="宋体"/>
          <w:color w:val="auto"/>
          <w:sz w:val="24"/>
          <w:szCs w:val="24"/>
          <w:highlight w:val="none"/>
          <w:lang w:eastAsia="zh-CN"/>
        </w:rPr>
        <w:t>；</w:t>
      </w:r>
      <w:r>
        <w:rPr>
          <w:rStyle w:val="44"/>
          <w:rFonts w:hint="eastAsia" w:ascii="仿宋" w:hAnsi="仿宋" w:eastAsia="仿宋"/>
          <w:color w:val="auto"/>
          <w:sz w:val="24"/>
          <w:szCs w:val="24"/>
          <w:highlight w:val="none"/>
        </w:rPr>
        <w:t>②</w:t>
      </w:r>
      <w:r>
        <w:rPr>
          <w:rStyle w:val="44"/>
          <w:rFonts w:hint="eastAsia" w:ascii="宋体" w:hAnsi="宋体" w:eastAsia="宋体"/>
          <w:color w:val="auto"/>
          <w:sz w:val="24"/>
          <w:szCs w:val="24"/>
          <w:highlight w:val="none"/>
        </w:rPr>
        <w:t>评标总得分且投标报价相同的，按照</w:t>
      </w:r>
      <w:r>
        <w:rPr>
          <w:rStyle w:val="44"/>
          <w:rFonts w:hint="eastAsia" w:ascii="宋体" w:hAnsi="宋体" w:eastAsia="宋体"/>
          <w:color w:val="auto"/>
          <w:sz w:val="24"/>
          <w:szCs w:val="24"/>
          <w:highlight w:val="none"/>
          <w:lang w:eastAsia="zh-CN"/>
        </w:rPr>
        <w:t>技术部分</w:t>
      </w:r>
      <w:r>
        <w:rPr>
          <w:rStyle w:val="44"/>
          <w:rFonts w:hint="eastAsia" w:ascii="宋体" w:hAnsi="宋体" w:eastAsia="宋体"/>
          <w:color w:val="auto"/>
          <w:sz w:val="24"/>
          <w:szCs w:val="24"/>
          <w:highlight w:val="none"/>
        </w:rPr>
        <w:t>得分由</w:t>
      </w:r>
      <w:r>
        <w:rPr>
          <w:rStyle w:val="44"/>
          <w:rFonts w:hint="eastAsia" w:ascii="宋体" w:hAnsi="宋体" w:eastAsia="宋体"/>
          <w:color w:val="auto"/>
          <w:sz w:val="24"/>
          <w:szCs w:val="24"/>
          <w:highlight w:val="none"/>
          <w:lang w:eastAsia="zh-CN"/>
        </w:rPr>
        <w:t>高</w:t>
      </w:r>
      <w:r>
        <w:rPr>
          <w:rStyle w:val="44"/>
          <w:rFonts w:hint="eastAsia" w:ascii="宋体" w:hAnsi="宋体" w:eastAsia="宋体"/>
          <w:color w:val="auto"/>
          <w:sz w:val="24"/>
          <w:szCs w:val="24"/>
          <w:highlight w:val="none"/>
        </w:rPr>
        <w:t>到</w:t>
      </w:r>
      <w:r>
        <w:rPr>
          <w:rStyle w:val="44"/>
          <w:rFonts w:hint="eastAsia" w:ascii="宋体" w:hAnsi="宋体" w:eastAsia="宋体"/>
          <w:color w:val="auto"/>
          <w:sz w:val="24"/>
          <w:szCs w:val="24"/>
          <w:highlight w:val="none"/>
          <w:lang w:eastAsia="zh-CN"/>
        </w:rPr>
        <w:t>低</w:t>
      </w:r>
      <w:r>
        <w:rPr>
          <w:rStyle w:val="44"/>
          <w:rFonts w:hint="eastAsia" w:ascii="宋体" w:hAnsi="宋体" w:eastAsia="宋体"/>
          <w:color w:val="auto"/>
          <w:sz w:val="24"/>
          <w:szCs w:val="24"/>
          <w:highlight w:val="none"/>
        </w:rPr>
        <w:t>顺序排列；</w:t>
      </w:r>
      <w:r>
        <w:rPr>
          <w:rStyle w:val="44"/>
          <w:rFonts w:hint="default" w:ascii="宋体" w:hAnsi="宋体" w:eastAsia="宋体"/>
          <w:color w:val="auto"/>
          <w:sz w:val="24"/>
          <w:szCs w:val="24"/>
          <w:highlight w:val="none"/>
        </w:rPr>
        <w:t>③若以上全部相同</w:t>
      </w:r>
      <w:r>
        <w:rPr>
          <w:rStyle w:val="44"/>
          <w:rFonts w:hint="eastAsia" w:ascii="宋体" w:hAnsi="宋体" w:eastAsia="宋体"/>
          <w:color w:val="auto"/>
          <w:sz w:val="24"/>
          <w:szCs w:val="24"/>
          <w:highlight w:val="none"/>
          <w:lang w:eastAsia="zh-CN"/>
        </w:rPr>
        <w:t>的</w:t>
      </w:r>
      <w:r>
        <w:rPr>
          <w:rStyle w:val="44"/>
          <w:rFonts w:hint="default" w:ascii="宋体" w:hAnsi="宋体" w:eastAsia="宋体"/>
          <w:color w:val="auto"/>
          <w:sz w:val="24"/>
          <w:szCs w:val="24"/>
          <w:highlight w:val="none"/>
        </w:rPr>
        <w:t>则</w:t>
      </w:r>
      <w:r>
        <w:rPr>
          <w:rStyle w:val="44"/>
          <w:rFonts w:ascii="宋体" w:hAnsi="宋体"/>
          <w:color w:val="auto"/>
          <w:sz w:val="24"/>
          <w:szCs w:val="24"/>
          <w:highlight w:val="none"/>
        </w:rPr>
        <w:t>由评标委员会代表随机抽取确定。</w:t>
      </w:r>
    </w:p>
    <w:p w14:paraId="3C2121DF">
      <w:pPr>
        <w:shd w:val="clear" w:color="auto" w:fill="auto"/>
        <w:snapToGrid w:val="0"/>
        <w:spacing w:line="44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评标委员会将严格按照招标文件的要求和条件进行评标，对所有投标人的评估，都采用相同的程序和标准。</w:t>
      </w:r>
    </w:p>
    <w:p w14:paraId="0B2B1B81">
      <w:pPr>
        <w:shd w:val="clear" w:color="auto" w:fill="auto"/>
        <w:snapToGrid w:val="0"/>
        <w:spacing w:line="44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计算分数时四舍五入取小数点后两位。主要评标因素如下：</w:t>
      </w:r>
    </w:p>
    <w:p w14:paraId="41347EFB">
      <w:pPr>
        <w:shd w:val="clear" w:color="auto" w:fill="auto"/>
        <w:snapToGrid w:val="0"/>
        <w:spacing w:line="44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各部分评分分值分布如下：</w:t>
      </w:r>
    </w:p>
    <w:p w14:paraId="401F4D9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PT：技术部分           满分</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p w14:paraId="68AB8A2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PB：商务部分           满分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D1988B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PF：报价部分           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A47B4D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PT和PB部分的最终得分为各个评委的评分算术平均值。</w:t>
      </w:r>
    </w:p>
    <w:p w14:paraId="41D4592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综合得分P＝PF＋PB＋PT</w:t>
      </w:r>
    </w:p>
    <w:p w14:paraId="560CC0C1">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rPr>
        <w:t xml:space="preserve">PT技术部分（ </w:t>
      </w:r>
      <w:r>
        <w:rPr>
          <w:rFonts w:hint="eastAsia" w:ascii="宋体" w:hAnsi="宋体" w:cs="宋体"/>
          <w:b/>
          <w:bCs w:val="0"/>
          <w:color w:val="auto"/>
          <w:sz w:val="24"/>
          <w:szCs w:val="24"/>
          <w:highlight w:val="none"/>
          <w:lang w:val="en-US" w:eastAsia="zh-CN"/>
        </w:rPr>
        <w:t>75</w:t>
      </w:r>
      <w:r>
        <w:rPr>
          <w:rFonts w:hint="eastAsia" w:ascii="宋体" w:hAnsi="宋体" w:eastAsia="宋体" w:cs="宋体"/>
          <w:b/>
          <w:bCs w:val="0"/>
          <w:color w:val="auto"/>
          <w:sz w:val="24"/>
          <w:szCs w:val="24"/>
          <w:highlight w:val="none"/>
        </w:rPr>
        <w:t xml:space="preserve"> 分）</w:t>
      </w:r>
    </w:p>
    <w:tbl>
      <w:tblPr>
        <w:tblStyle w:val="26"/>
        <w:tblW w:w="96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58"/>
        <w:gridCol w:w="902"/>
        <w:gridCol w:w="7278"/>
      </w:tblGrid>
      <w:tr w14:paraId="6AB19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3E57C558">
            <w:pPr>
              <w:pStyle w:val="22"/>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250A4F56">
            <w:pPr>
              <w:pStyle w:val="22"/>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分值</w:t>
            </w:r>
          </w:p>
        </w:tc>
        <w:tc>
          <w:tcPr>
            <w:tcW w:w="7278" w:type="dxa"/>
            <w:tcBorders>
              <w:top w:val="single" w:color="auto" w:sz="2" w:space="0"/>
              <w:left w:val="single" w:color="auto" w:sz="2" w:space="0"/>
              <w:bottom w:val="single" w:color="auto" w:sz="2" w:space="0"/>
              <w:right w:val="single" w:color="auto" w:sz="2" w:space="0"/>
            </w:tcBorders>
            <w:noWrap w:val="0"/>
            <w:vAlign w:val="top"/>
          </w:tcPr>
          <w:p w14:paraId="2396BF44">
            <w:pPr>
              <w:pStyle w:val="22"/>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描述</w:t>
            </w:r>
          </w:p>
        </w:tc>
      </w:tr>
      <w:tr w14:paraId="4B3F2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2A0B734">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系统设计方案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602DB93">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BB40C8A">
            <w:pPr>
              <w:widowControl/>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kern w:val="0"/>
                <w:sz w:val="24"/>
                <w:szCs w:val="24"/>
                <w:highlight w:val="none"/>
                <w:lang w:bidi="ar"/>
              </w:rPr>
              <w:t>根据投标人</w:t>
            </w:r>
            <w:r>
              <w:rPr>
                <w:rFonts w:hint="eastAsia" w:ascii="宋体" w:hAnsi="宋体" w:eastAsia="宋体" w:cs="宋体"/>
                <w:color w:val="auto"/>
                <w:kern w:val="0"/>
                <w:sz w:val="24"/>
                <w:szCs w:val="24"/>
                <w:highlight w:val="none"/>
                <w:lang w:eastAsia="zh-CN" w:bidi="ar"/>
              </w:rPr>
              <w:t>针对本项目</w:t>
            </w:r>
            <w:r>
              <w:rPr>
                <w:rFonts w:hint="eastAsia" w:ascii="宋体" w:hAnsi="宋体" w:eastAsia="宋体" w:cs="宋体"/>
                <w:color w:val="auto"/>
                <w:kern w:val="0"/>
                <w:sz w:val="24"/>
                <w:szCs w:val="24"/>
                <w:highlight w:val="none"/>
                <w:lang w:bidi="ar"/>
              </w:rPr>
              <w:t>所提供的系统设计方案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包含但不限于对系统的总体架构、</w:t>
            </w:r>
            <w:r>
              <w:rPr>
                <w:rFonts w:hint="eastAsia" w:ascii="宋体" w:hAnsi="宋体" w:eastAsia="宋体" w:cs="宋体"/>
                <w:color w:val="auto"/>
                <w:kern w:val="0"/>
                <w:sz w:val="24"/>
                <w:szCs w:val="24"/>
                <w:highlight w:val="none"/>
                <w:lang w:val="en-US" w:eastAsia="zh-CN" w:bidi="ar"/>
              </w:rPr>
              <w:t>应用架构（功能设计、接口设计、系统性能指标、业务量分析等）、技术架构（网络拓扑、系统部署、技术路线等）、数据架构（数据流转、数据标准规范、数据库设计、业务数据量、系统对接]、建设内容、</w:t>
            </w:r>
            <w:r>
              <w:rPr>
                <w:rFonts w:hint="eastAsia" w:ascii="宋体" w:hAnsi="宋体" w:eastAsia="宋体" w:cs="宋体"/>
                <w:color w:val="auto"/>
                <w:kern w:val="0"/>
                <w:sz w:val="24"/>
                <w:szCs w:val="24"/>
                <w:highlight w:val="none"/>
                <w:lang w:bidi="ar"/>
              </w:rPr>
              <w:t>实现目标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需求理解</w:t>
            </w:r>
            <w:r>
              <w:rPr>
                <w:rFonts w:hint="eastAsia" w:ascii="宋体" w:hAnsi="宋体" w:eastAsia="宋体" w:cs="宋体"/>
                <w:color w:val="auto"/>
                <w:kern w:val="0"/>
                <w:sz w:val="24"/>
                <w:szCs w:val="24"/>
                <w:highlight w:val="none"/>
                <w:lang w:bidi="ar"/>
              </w:rPr>
              <w:t>等情况）</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9分；（2）方案包含的要点齐全、内容与要点相符、每个要点均有展开阐述(没有特别具体)但基本能够实施的得8.8分；（3）方案包含的要点齐全、内容与要点相符但仅有纲要、内容简略,未展开详细阐述的得8.7分；（4）方案所包含的要点有缺漏、未提供或内容存在明显错误的不得分。</w:t>
            </w:r>
          </w:p>
        </w:tc>
      </w:tr>
      <w:tr w14:paraId="1D4B3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29E727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2、需求分析方案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68F34994">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144BD255">
            <w:pPr>
              <w:widowControl/>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bidi="ar"/>
              </w:rPr>
              <w:t>根据投标人提供的需求分析方案</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包含但不限于理解建设内容，结合项目需求进行分析、针对总体业务需求、用户群、业务流程梳理、业务功能性分析等</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w:t>
            </w:r>
            <w:r>
              <w:rPr>
                <w:rFonts w:hint="eastAsia" w:ascii="宋体" w:hAnsi="宋体" w:cs="宋体"/>
                <w:i w:val="0"/>
                <w:iCs w:val="0"/>
                <w:caps w:val="0"/>
                <w:color w:val="auto"/>
                <w:spacing w:val="0"/>
                <w:kern w:val="0"/>
                <w:sz w:val="24"/>
                <w:szCs w:val="24"/>
                <w:highlight w:val="none"/>
                <w:lang w:val="en-US" w:eastAsia="zh-CN" w:bidi="ar"/>
              </w:rPr>
              <w:t>9</w:t>
            </w:r>
            <w:r>
              <w:rPr>
                <w:rFonts w:hint="eastAsia" w:ascii="宋体" w:hAnsi="宋体" w:eastAsia="宋体" w:cs="宋体"/>
                <w:i w:val="0"/>
                <w:iCs w:val="0"/>
                <w:caps w:val="0"/>
                <w:color w:val="auto"/>
                <w:spacing w:val="0"/>
                <w:kern w:val="0"/>
                <w:sz w:val="24"/>
                <w:szCs w:val="24"/>
                <w:highlight w:val="none"/>
                <w:lang w:val="en-US" w:eastAsia="zh-CN" w:bidi="ar"/>
              </w:rPr>
              <w:t>分；（2）方案包含的要点齐全、内容与要点相符、每个要点均有展开阐述(没有特别具体)但基本能够实施的得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.8分；（3）方案包含的要点齐全、内容与要点相符但仅有纲要、内容简略,未展开详细阐述的得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.7分；（4）方案所包含的要点有缺漏、未提供或内容存在明显错误的不得分。</w:t>
            </w:r>
          </w:p>
        </w:tc>
      </w:tr>
      <w:tr w14:paraId="2AE9A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19F09980">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项目实施方案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5F1896BC">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83908ED">
            <w:pPr>
              <w:widowControl/>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bidi="ar"/>
              </w:rPr>
              <w:t>根据投标人</w:t>
            </w:r>
            <w:r>
              <w:rPr>
                <w:rFonts w:hint="eastAsia" w:ascii="宋体" w:hAnsi="宋体" w:eastAsia="宋体" w:cs="宋体"/>
                <w:color w:val="auto"/>
                <w:kern w:val="0"/>
                <w:sz w:val="24"/>
                <w:szCs w:val="24"/>
                <w:highlight w:val="none"/>
                <w:lang w:eastAsia="zh-CN" w:bidi="ar"/>
              </w:rPr>
              <w:t>针对本项目所</w:t>
            </w:r>
            <w:r>
              <w:rPr>
                <w:rFonts w:hint="eastAsia" w:ascii="宋体" w:hAnsi="宋体" w:eastAsia="宋体" w:cs="宋体"/>
                <w:color w:val="auto"/>
                <w:kern w:val="0"/>
                <w:sz w:val="24"/>
                <w:szCs w:val="24"/>
                <w:highlight w:val="none"/>
                <w:lang w:bidi="ar"/>
              </w:rPr>
              <w:t>提供的项目实施方案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包含但不限于实施计划、进度计划（</w:t>
            </w:r>
            <w:r>
              <w:rPr>
                <w:rFonts w:hint="eastAsia" w:ascii="宋体" w:hAnsi="宋体" w:eastAsia="宋体" w:cs="宋体"/>
                <w:color w:val="auto"/>
                <w:kern w:val="0"/>
                <w:sz w:val="24"/>
                <w:szCs w:val="24"/>
                <w:highlight w:val="none"/>
                <w:lang w:eastAsia="zh-CN" w:bidi="ar"/>
              </w:rPr>
              <w:t>内容至少包含</w:t>
            </w:r>
            <w:r>
              <w:rPr>
                <w:rFonts w:hint="eastAsia" w:ascii="宋体" w:hAnsi="宋体" w:eastAsia="宋体" w:cs="宋体"/>
                <w:color w:val="auto"/>
                <w:kern w:val="0"/>
                <w:sz w:val="24"/>
                <w:szCs w:val="24"/>
                <w:highlight w:val="none"/>
                <w:lang w:bidi="ar"/>
              </w:rPr>
              <w:t>调研、设计、开发、测试、试点单位推广、全省试运行、</w:t>
            </w:r>
            <w:r>
              <w:rPr>
                <w:rFonts w:hint="eastAsia" w:ascii="宋体" w:hAnsi="宋体" w:eastAsia="宋体" w:cs="宋体"/>
                <w:color w:val="auto"/>
                <w:kern w:val="0"/>
                <w:sz w:val="24"/>
                <w:szCs w:val="24"/>
                <w:highlight w:val="none"/>
                <w:lang w:eastAsia="zh-CN" w:bidi="ar"/>
              </w:rPr>
              <w:t>试运行后的</w:t>
            </w:r>
            <w:r>
              <w:rPr>
                <w:rFonts w:hint="eastAsia" w:ascii="宋体" w:hAnsi="宋体" w:eastAsia="宋体" w:cs="宋体"/>
                <w:color w:val="auto"/>
                <w:kern w:val="0"/>
                <w:sz w:val="24"/>
                <w:szCs w:val="24"/>
                <w:highlight w:val="none"/>
                <w:lang w:bidi="ar"/>
              </w:rPr>
              <w:t>验收等）、保障措施等情况</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w:t>
            </w:r>
            <w:r>
              <w:rPr>
                <w:rFonts w:hint="eastAsia" w:ascii="宋体" w:hAnsi="宋体" w:cs="宋体"/>
                <w:i w:val="0"/>
                <w:iCs w:val="0"/>
                <w:caps w:val="0"/>
                <w:color w:val="auto"/>
                <w:spacing w:val="0"/>
                <w:kern w:val="0"/>
                <w:sz w:val="24"/>
                <w:szCs w:val="24"/>
                <w:highlight w:val="none"/>
                <w:lang w:val="en-US" w:eastAsia="zh-CN" w:bidi="ar"/>
              </w:rPr>
              <w:t>9</w:t>
            </w:r>
            <w:r>
              <w:rPr>
                <w:rFonts w:hint="eastAsia" w:ascii="宋体" w:hAnsi="宋体" w:eastAsia="宋体" w:cs="宋体"/>
                <w:i w:val="0"/>
                <w:iCs w:val="0"/>
                <w:caps w:val="0"/>
                <w:color w:val="auto"/>
                <w:spacing w:val="0"/>
                <w:kern w:val="0"/>
                <w:sz w:val="24"/>
                <w:szCs w:val="24"/>
                <w:highlight w:val="none"/>
                <w:lang w:val="en-US" w:eastAsia="zh-CN" w:bidi="ar"/>
              </w:rPr>
              <w:t>分；（2）方案包含的要点齐全、内容与要点相符、每个要点均有展开阐述(没有特别具体)但基本能够实施的得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.8分；（3）方案包含的要点齐全、内容与要点相符但仅有纲要、内容简略,未展开详细阐述的得</w:t>
            </w:r>
            <w:r>
              <w:rPr>
                <w:rFonts w:hint="eastAsia" w:ascii="宋体" w:hAnsi="宋体" w:cs="宋体"/>
                <w:i w:val="0"/>
                <w:iCs w:val="0"/>
                <w:caps w:val="0"/>
                <w:color w:val="auto"/>
                <w:spacing w:val="0"/>
                <w:kern w:val="0"/>
                <w:sz w:val="24"/>
                <w:szCs w:val="24"/>
                <w:highlight w:val="none"/>
                <w:lang w:val="en-US" w:eastAsia="zh-CN" w:bidi="ar"/>
              </w:rPr>
              <w:t>8</w:t>
            </w:r>
            <w:r>
              <w:rPr>
                <w:rFonts w:hint="eastAsia" w:ascii="宋体" w:hAnsi="宋体" w:eastAsia="宋体" w:cs="宋体"/>
                <w:i w:val="0"/>
                <w:iCs w:val="0"/>
                <w:caps w:val="0"/>
                <w:color w:val="auto"/>
                <w:spacing w:val="0"/>
                <w:kern w:val="0"/>
                <w:sz w:val="24"/>
                <w:szCs w:val="24"/>
                <w:highlight w:val="none"/>
                <w:lang w:val="en-US" w:eastAsia="zh-CN" w:bidi="ar"/>
              </w:rPr>
              <w:t>.7分；（4）方案所包含的要点有缺漏、未提供或内容存在明显错误的不得分。</w:t>
            </w:r>
          </w:p>
        </w:tc>
      </w:tr>
      <w:tr w14:paraId="0FDBE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6DB26C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项目重难点及解决方案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09381CD9">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2BD0315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根据投标人针对本项目重难点及解决方案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包含但不限于服务过程中</w:t>
            </w:r>
            <w:r>
              <w:rPr>
                <w:rFonts w:hint="eastAsia" w:ascii="宋体" w:hAnsi="宋体" w:eastAsia="宋体" w:cs="宋体"/>
                <w:color w:val="auto"/>
                <w:kern w:val="0"/>
                <w:sz w:val="24"/>
                <w:szCs w:val="24"/>
                <w:highlight w:val="none"/>
                <w:lang w:eastAsia="zh-CN" w:bidi="ar"/>
              </w:rPr>
              <w:t>环节、</w:t>
            </w:r>
            <w:r>
              <w:rPr>
                <w:rFonts w:hint="eastAsia" w:ascii="宋体" w:hAnsi="宋体" w:eastAsia="宋体" w:cs="宋体"/>
                <w:color w:val="auto"/>
                <w:kern w:val="0"/>
                <w:sz w:val="24"/>
                <w:szCs w:val="24"/>
                <w:highlight w:val="none"/>
                <w:lang w:bidi="ar"/>
              </w:rPr>
              <w:t>节点可能出现的重难点</w:t>
            </w:r>
            <w:r>
              <w:rPr>
                <w:rFonts w:hint="eastAsia" w:ascii="宋体" w:hAnsi="宋体" w:eastAsia="宋体" w:cs="宋体"/>
                <w:color w:val="auto"/>
                <w:sz w:val="24"/>
                <w:szCs w:val="24"/>
                <w:highlight w:val="none"/>
                <w:lang w:val="en-US" w:eastAsia="zh-CN"/>
              </w:rPr>
              <w:t>（至少包含与全国公务员信息管理系统、</w:t>
            </w:r>
            <w:r>
              <w:rPr>
                <w:rFonts w:hint="eastAsia" w:ascii="宋体" w:hAnsi="宋体" w:eastAsia="宋体" w:cs="Times New Roman"/>
                <w:color w:val="auto"/>
                <w:sz w:val="24"/>
                <w:szCs w:val="24"/>
                <w:highlight w:val="none"/>
                <w:lang w:val="en-US" w:eastAsia="zh-CN"/>
              </w:rPr>
              <w:t>福建省委组织部干部系统</w:t>
            </w:r>
            <w:r>
              <w:rPr>
                <w:rFonts w:hint="eastAsia" w:ascii="宋体" w:hAnsi="宋体" w:eastAsia="宋体" w:cs="宋体"/>
                <w:color w:val="auto"/>
                <w:sz w:val="24"/>
                <w:szCs w:val="24"/>
                <w:highlight w:val="none"/>
                <w:lang w:val="en-US" w:eastAsia="zh-CN"/>
              </w:rPr>
              <w:t>接口详细方案，实现本项目的数据本级存储、数据汇聚与共享交换）</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8分；（2）方案包含的要点齐全、内容与要点相符、每个要点均有展开阐述(没有特别具体)但基本能够实施的得7.8分；（3）方案包含的要点齐全、内容与要点相符但仅有纲要、内容简略,未展开详细阐述的得7.7分；（4）方案所包含的要点有缺漏、未提供或内容存在明显错误的不得分。</w:t>
            </w:r>
          </w:p>
        </w:tc>
      </w:tr>
      <w:tr w14:paraId="03E21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357E852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质量保证措施</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296CC156">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790AEA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根据投标人的质量保障措施</w:t>
            </w:r>
            <w:r>
              <w:rPr>
                <w:rFonts w:hint="eastAsia" w:ascii="宋体" w:hAnsi="宋体" w:eastAsia="宋体" w:cs="宋体"/>
                <w:color w:val="auto"/>
                <w:kern w:val="0"/>
                <w:sz w:val="24"/>
                <w:szCs w:val="24"/>
                <w:highlight w:val="none"/>
                <w:lang w:val="en-US" w:eastAsia="zh-CN" w:bidi="ar"/>
              </w:rPr>
              <w:t>方案（</w:t>
            </w:r>
            <w:r>
              <w:rPr>
                <w:rFonts w:hint="eastAsia" w:ascii="宋体" w:hAnsi="宋体" w:eastAsia="宋体" w:cs="宋体"/>
                <w:color w:val="auto"/>
                <w:kern w:val="0"/>
                <w:sz w:val="24"/>
                <w:szCs w:val="24"/>
                <w:highlight w:val="none"/>
                <w:lang w:bidi="ar"/>
              </w:rPr>
              <w:t>包含但不限于</w:t>
            </w:r>
            <w:r>
              <w:rPr>
                <w:rFonts w:hint="eastAsia" w:ascii="宋体" w:hAnsi="宋体" w:eastAsia="宋体" w:cs="宋体"/>
                <w:color w:val="auto"/>
                <w:kern w:val="0"/>
                <w:sz w:val="24"/>
                <w:szCs w:val="24"/>
                <w:highlight w:val="none"/>
                <w:lang w:val="en-US" w:eastAsia="zh-CN" w:bidi="ar"/>
              </w:rPr>
              <w:t>需求调研、系统设计、功能编码、系统试运行）</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8分；（2）方案包含的要点齐全、内容与要点相符、每个要点均有展开阐述(没有特别具体)但基本能够实施的得7.8分；（3）方案包含的要点齐全、内容与要点相符但仅有纲要、内容简略,未展开详细阐述的得7.7分；（4）方案所包含的要点有缺漏、未提供或内容存在明显错误的不得分。</w:t>
            </w:r>
          </w:p>
        </w:tc>
      </w:tr>
      <w:tr w14:paraId="2D3B3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09E10803">
            <w:pPr>
              <w:widowControl/>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系统安全保障方案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4B802C6B">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31909F1F">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投标人须提供系统安全保障方案</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包含但不限于</w:t>
            </w:r>
            <w:r>
              <w:rPr>
                <w:rFonts w:hint="eastAsia" w:ascii="宋体" w:hAnsi="宋体" w:eastAsia="宋体" w:cs="宋体"/>
                <w:color w:val="auto"/>
                <w:kern w:val="0"/>
                <w:sz w:val="24"/>
                <w:szCs w:val="24"/>
                <w:highlight w:val="none"/>
                <w:lang w:eastAsia="zh-CN" w:bidi="ar"/>
              </w:rPr>
              <w:t>数据对接、用户权限管理、敏感数据存储、口令管理等各项安全措施），</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8分；（2）方案包含的要点齐全、内容与要点相符、每个要点均有展开阐述(没有特别具体)但基本能够实施的得7.8分；（3）方案包含的要点齐全、内容与要点相符但仅有纲要、内容简略,未展开详细阐述的得7.7分；（4）方案所包含的要点有缺漏、未提供或内容存在明显错误的不得分。</w:t>
            </w:r>
          </w:p>
        </w:tc>
      </w:tr>
      <w:tr w14:paraId="76D04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5D4D6FA3">
            <w:pPr>
              <w:widowControl/>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r>
              <w:rPr>
                <w:rFonts w:hint="eastAsia" w:ascii="宋体" w:hAnsi="宋体" w:cs="宋体"/>
                <w:color w:val="auto"/>
                <w:sz w:val="24"/>
                <w:szCs w:val="24"/>
                <w:highlight w:val="none"/>
                <w:u w:val="none"/>
              </w:rPr>
              <w:t>项目</w:t>
            </w:r>
            <w:r>
              <w:rPr>
                <w:rFonts w:hint="eastAsia" w:ascii="宋体" w:hAnsi="宋体" w:cs="宋体"/>
                <w:color w:val="auto"/>
                <w:sz w:val="24"/>
                <w:szCs w:val="24"/>
                <w:highlight w:val="none"/>
                <w:u w:val="none"/>
                <w:lang w:eastAsia="zh-CN"/>
              </w:rPr>
              <w:t>负责人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4182218B">
            <w:pPr>
              <w:pStyle w:val="53"/>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b w:val="0"/>
                <w:bCs w:val="0"/>
                <w:color w:val="auto"/>
                <w:sz w:val="24"/>
                <w:szCs w:val="24"/>
                <w:highlight w:val="none"/>
                <w:lang w:val="en-US" w:eastAsia="zh-CN"/>
              </w:rPr>
              <w:t>2.00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3975B9C9">
            <w:pPr>
              <w:widowControl/>
              <w:spacing w:line="360" w:lineRule="auto"/>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投标人拟投入本</w:t>
            </w:r>
            <w:r>
              <w:rPr>
                <w:rFonts w:hint="eastAsia" w:ascii="宋体" w:hAnsi="宋体" w:cs="宋体"/>
                <w:color w:val="auto"/>
                <w:sz w:val="24"/>
                <w:szCs w:val="24"/>
                <w:highlight w:val="none"/>
                <w:u w:val="none"/>
                <w:lang w:eastAsia="zh-CN"/>
              </w:rPr>
              <w:t>项目</w:t>
            </w:r>
            <w:r>
              <w:rPr>
                <w:rFonts w:hint="eastAsia" w:ascii="宋体" w:hAnsi="宋体" w:cs="宋体"/>
                <w:color w:val="auto"/>
                <w:sz w:val="24"/>
                <w:szCs w:val="24"/>
                <w:highlight w:val="none"/>
                <w:u w:val="none"/>
              </w:rPr>
              <w:t>的项目</w:t>
            </w:r>
            <w:r>
              <w:rPr>
                <w:rFonts w:hint="eastAsia" w:ascii="宋体" w:hAnsi="宋体" w:cs="宋体"/>
                <w:color w:val="auto"/>
                <w:sz w:val="24"/>
                <w:szCs w:val="24"/>
                <w:highlight w:val="none"/>
                <w:u w:val="none"/>
                <w:lang w:eastAsia="zh-CN"/>
              </w:rPr>
              <w:t>负责人</w:t>
            </w:r>
            <w:r>
              <w:rPr>
                <w:rFonts w:hint="eastAsia" w:ascii="宋体" w:hAnsi="宋体" w:cs="宋体"/>
                <w:color w:val="auto"/>
                <w:sz w:val="24"/>
                <w:szCs w:val="24"/>
                <w:highlight w:val="none"/>
                <w:u w:val="none"/>
              </w:rPr>
              <w:t>(仅限</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rPr>
              <w:t>人):具有①</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颁发的信息系统项目管理师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②注册信息安全专业人员（CISP）</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 xml:space="preserve">每提供一个证书的得 </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rPr>
              <w:t xml:space="preserve">分，满分 </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分。</w:t>
            </w:r>
          </w:p>
          <w:p w14:paraId="1F39FB20">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0635B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14885310">
            <w:pPr>
              <w:widowControl/>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u w:val="none"/>
                <w:lang w:val="en-US" w:eastAsia="zh-CN" w:bidi="ar"/>
              </w:rPr>
              <w:t>技术负责人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22977D5C">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b w:val="0"/>
                <w:bCs w:val="0"/>
                <w:color w:val="auto"/>
                <w:sz w:val="24"/>
                <w:szCs w:val="24"/>
                <w:highlight w:val="none"/>
                <w:lang w:val="en-US" w:eastAsia="zh-CN"/>
              </w:rPr>
              <w:t>3.00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06EBDF11">
            <w:pPr>
              <w:widowControl/>
              <w:spacing w:line="360" w:lineRule="auto"/>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投标人拟投入</w:t>
            </w:r>
            <w:r>
              <w:rPr>
                <w:rFonts w:hint="eastAsia" w:ascii="宋体" w:hAnsi="宋体" w:cs="宋体"/>
                <w:color w:val="auto"/>
                <w:sz w:val="24"/>
                <w:szCs w:val="24"/>
                <w:highlight w:val="none"/>
                <w:u w:val="none"/>
              </w:rPr>
              <w:t>本</w:t>
            </w:r>
            <w:r>
              <w:rPr>
                <w:rFonts w:hint="eastAsia" w:ascii="宋体" w:hAnsi="宋体" w:cs="宋体"/>
                <w:color w:val="auto"/>
                <w:sz w:val="24"/>
                <w:szCs w:val="24"/>
                <w:highlight w:val="none"/>
                <w:u w:val="none"/>
                <w:lang w:eastAsia="zh-CN"/>
              </w:rPr>
              <w:t>项目</w:t>
            </w:r>
            <w:r>
              <w:rPr>
                <w:rFonts w:hint="eastAsia" w:ascii="宋体" w:hAnsi="宋体" w:eastAsia="宋体" w:cs="宋体"/>
                <w:color w:val="auto"/>
                <w:kern w:val="0"/>
                <w:sz w:val="24"/>
                <w:szCs w:val="24"/>
                <w:highlight w:val="none"/>
                <w:u w:val="none"/>
                <w:lang w:val="en-US" w:eastAsia="zh-CN" w:bidi="ar"/>
              </w:rPr>
              <w:t>的技术负责人(仅限</w:t>
            </w:r>
            <w:r>
              <w:rPr>
                <w:rFonts w:hint="eastAsia" w:ascii="宋体" w:hAnsi="宋体" w:cs="宋体"/>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none"/>
                <w:lang w:val="en-US" w:eastAsia="zh-CN" w:bidi="ar"/>
              </w:rPr>
              <w:t>人):具有①</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w:t>
            </w:r>
            <w:r>
              <w:rPr>
                <w:rFonts w:hint="eastAsia" w:ascii="宋体" w:hAnsi="宋体" w:eastAsia="宋体" w:cs="宋体"/>
                <w:color w:val="auto"/>
                <w:kern w:val="0"/>
                <w:sz w:val="24"/>
                <w:szCs w:val="24"/>
                <w:highlight w:val="none"/>
                <w:u w:val="none"/>
                <w:lang w:val="en-US" w:eastAsia="zh-CN" w:bidi="ar"/>
              </w:rPr>
              <w:t>系统架构设计师；</w:t>
            </w:r>
            <w:r>
              <w:rPr>
                <w:rFonts w:hint="eastAsia" w:ascii="宋体" w:hAnsi="宋体" w:cs="宋体"/>
                <w:color w:val="auto"/>
                <w:sz w:val="24"/>
                <w:szCs w:val="24"/>
                <w:highlight w:val="none"/>
                <w:u w:val="none"/>
              </w:rPr>
              <w:t>②</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颁发的数据库系统工程师</w:t>
            </w:r>
            <w:r>
              <w:rPr>
                <w:rFonts w:hint="eastAsia" w:ascii="宋体" w:hAnsi="宋体" w:eastAsia="宋体" w:cs="宋体"/>
                <w:color w:val="auto"/>
                <w:kern w:val="0"/>
                <w:sz w:val="24"/>
                <w:szCs w:val="24"/>
                <w:highlight w:val="none"/>
                <w:u w:val="none"/>
                <w:lang w:val="en-US" w:eastAsia="zh-CN" w:bidi="ar"/>
              </w:rPr>
              <w:t>；</w:t>
            </w:r>
            <w:r>
              <w:rPr>
                <w:rFonts w:hint="eastAsia" w:ascii="宋体" w:hAnsi="宋体" w:cs="宋体"/>
                <w:color w:val="auto"/>
                <w:sz w:val="24"/>
                <w:szCs w:val="24"/>
                <w:highlight w:val="none"/>
                <w:u w:val="none"/>
              </w:rPr>
              <w:t>③</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颁发的软件设计师</w:t>
            </w:r>
            <w:r>
              <w:rPr>
                <w:rFonts w:hint="eastAsia" w:ascii="宋体" w:hAnsi="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bidi="ar"/>
              </w:rPr>
              <w:t>每提供一个证书的得1分，满分3分。</w:t>
            </w:r>
          </w:p>
          <w:p w14:paraId="642AAA4A">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3BB49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47BDC3F2">
            <w:pPr>
              <w:widowControl/>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r>
              <w:rPr>
                <w:rFonts w:hint="eastAsia" w:ascii="宋体" w:hAnsi="宋体" w:eastAsia="宋体" w:cs="宋体"/>
                <w:i w:val="0"/>
                <w:iCs w:val="0"/>
                <w:color w:val="auto"/>
                <w:sz w:val="24"/>
                <w:szCs w:val="24"/>
                <w:highlight w:val="none"/>
                <w:lang w:val="en-US" w:eastAsia="zh-CN"/>
              </w:rPr>
              <w:t>开发工程师</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47029AC">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72128BA5">
            <w:pPr>
              <w:widowControl/>
              <w:spacing w:line="360" w:lineRule="auto"/>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投标人拟投入</w:t>
            </w:r>
            <w:r>
              <w:rPr>
                <w:rFonts w:hint="eastAsia" w:ascii="宋体" w:hAnsi="宋体" w:cs="宋体"/>
                <w:color w:val="auto"/>
                <w:sz w:val="24"/>
                <w:szCs w:val="24"/>
                <w:highlight w:val="none"/>
                <w:u w:val="none"/>
              </w:rPr>
              <w:t>本</w:t>
            </w:r>
            <w:r>
              <w:rPr>
                <w:rFonts w:hint="eastAsia" w:ascii="宋体" w:hAnsi="宋体" w:cs="宋体"/>
                <w:color w:val="auto"/>
                <w:sz w:val="24"/>
                <w:szCs w:val="24"/>
                <w:highlight w:val="none"/>
                <w:u w:val="none"/>
                <w:lang w:eastAsia="zh-CN"/>
              </w:rPr>
              <w:t>项目</w:t>
            </w:r>
            <w:r>
              <w:rPr>
                <w:rFonts w:hint="eastAsia" w:ascii="宋体" w:hAnsi="宋体" w:cs="宋体"/>
                <w:color w:val="auto"/>
                <w:sz w:val="24"/>
                <w:szCs w:val="24"/>
                <w:highlight w:val="none"/>
                <w:lang w:bidi="ar"/>
              </w:rPr>
              <w:t>的</w:t>
            </w:r>
            <w:r>
              <w:rPr>
                <w:rFonts w:hint="eastAsia" w:ascii="宋体" w:hAnsi="宋体" w:eastAsia="宋体" w:cs="宋体"/>
                <w:i w:val="0"/>
                <w:iCs w:val="0"/>
                <w:color w:val="auto"/>
                <w:sz w:val="24"/>
                <w:szCs w:val="24"/>
                <w:highlight w:val="none"/>
                <w:lang w:val="en-US" w:eastAsia="zh-CN"/>
              </w:rPr>
              <w:t>开发工程师</w:t>
            </w:r>
            <w:r>
              <w:rPr>
                <w:rFonts w:hint="eastAsia" w:ascii="宋体" w:hAnsi="宋体" w:cs="宋体"/>
                <w:color w:val="auto"/>
                <w:sz w:val="24"/>
                <w:szCs w:val="24"/>
                <w:highlight w:val="none"/>
                <w:lang w:bidi="ar"/>
              </w:rPr>
              <w:t>:具有</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w:t>
            </w:r>
            <w:r>
              <w:rPr>
                <w:rFonts w:hint="eastAsia" w:ascii="宋体" w:hAnsi="宋体" w:eastAsia="宋体" w:cs="宋体"/>
                <w:color w:val="auto"/>
                <w:kern w:val="0"/>
                <w:sz w:val="24"/>
                <w:szCs w:val="24"/>
                <w:highlight w:val="none"/>
                <w:u w:val="none"/>
                <w:lang w:val="en-US" w:eastAsia="zh-CN" w:bidi="ar"/>
              </w:rPr>
              <w:t>计算机技术与软件专业技术资格证书(中级或中级以上)</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bidi="ar"/>
              </w:rPr>
              <w:t>每提供</w:t>
            </w:r>
            <w:r>
              <w:rPr>
                <w:rFonts w:hint="eastAsia" w:ascii="宋体" w:hAnsi="宋体" w:cs="宋体"/>
                <w:color w:val="auto"/>
                <w:sz w:val="24"/>
                <w:szCs w:val="24"/>
                <w:highlight w:val="none"/>
                <w:lang w:eastAsia="zh-CN" w:bidi="ar"/>
              </w:rPr>
              <w:t>一人具有以上</w:t>
            </w:r>
            <w:r>
              <w:rPr>
                <w:rFonts w:hint="eastAsia" w:ascii="宋体" w:hAnsi="宋体" w:cs="宋体"/>
                <w:color w:val="auto"/>
                <w:sz w:val="24"/>
                <w:szCs w:val="24"/>
                <w:highlight w:val="none"/>
                <w:lang w:val="en-US" w:eastAsia="zh-CN" w:bidi="ar"/>
              </w:rPr>
              <w:t>证书</w:t>
            </w:r>
            <w:r>
              <w:rPr>
                <w:rFonts w:hint="eastAsia" w:ascii="宋体" w:hAnsi="宋体" w:cs="宋体"/>
                <w:color w:val="auto"/>
                <w:sz w:val="24"/>
                <w:szCs w:val="24"/>
                <w:highlight w:val="none"/>
                <w:lang w:bidi="ar"/>
              </w:rPr>
              <w:t>的得1分，满分</w:t>
            </w: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r>
              <w:rPr>
                <w:rFonts w:hint="eastAsia" w:ascii="宋体" w:hAnsi="宋体" w:cs="宋体"/>
                <w:color w:val="auto"/>
                <w:sz w:val="24"/>
                <w:szCs w:val="24"/>
                <w:highlight w:val="none"/>
                <w:lang w:eastAsia="zh-CN" w:bidi="ar"/>
              </w:rPr>
              <w:t>一人多本证书的不重复得分。</w:t>
            </w:r>
          </w:p>
          <w:p w14:paraId="00E81E24">
            <w:pPr>
              <w:widowControl/>
              <w:spacing w:line="360" w:lineRule="auto"/>
              <w:jc w:val="left"/>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2DD5F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top w:val="single" w:color="auto" w:sz="2" w:space="0"/>
              <w:left w:val="single" w:color="auto" w:sz="2" w:space="0"/>
              <w:bottom w:val="single" w:color="auto" w:sz="2" w:space="0"/>
              <w:right w:val="single" w:color="auto" w:sz="2" w:space="0"/>
            </w:tcBorders>
            <w:noWrap w:val="0"/>
            <w:vAlign w:val="center"/>
          </w:tcPr>
          <w:p w14:paraId="3E8F0E14">
            <w:pPr>
              <w:widowControl/>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sz w:val="24"/>
                <w:szCs w:val="24"/>
                <w:highlight w:val="none"/>
                <w:lang w:val="en-US" w:eastAsia="zh-CN"/>
              </w:rPr>
              <w:t>1</w:t>
            </w:r>
            <w:r>
              <w:rPr>
                <w:rFonts w:hint="eastAsia" w:ascii="宋体" w:hAnsi="宋体" w:cs="宋体"/>
                <w:i w:val="0"/>
                <w:iCs w:val="0"/>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、驻点运维人员</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19567E5">
            <w:pPr>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7CABA87A">
            <w:pPr>
              <w:widowControl/>
              <w:spacing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投标人拟投入</w:t>
            </w:r>
            <w:r>
              <w:rPr>
                <w:rFonts w:hint="eastAsia" w:ascii="宋体" w:hAnsi="宋体" w:cs="宋体"/>
                <w:color w:val="auto"/>
                <w:sz w:val="24"/>
                <w:szCs w:val="24"/>
                <w:highlight w:val="none"/>
                <w:u w:val="none"/>
              </w:rPr>
              <w:t>本</w:t>
            </w:r>
            <w:r>
              <w:rPr>
                <w:rFonts w:hint="eastAsia" w:ascii="宋体" w:hAnsi="宋体" w:cs="宋体"/>
                <w:color w:val="auto"/>
                <w:sz w:val="24"/>
                <w:szCs w:val="24"/>
                <w:highlight w:val="none"/>
                <w:u w:val="none"/>
                <w:lang w:eastAsia="zh-CN"/>
              </w:rPr>
              <w:t>项目</w:t>
            </w:r>
            <w:r>
              <w:rPr>
                <w:rFonts w:hint="eastAsia" w:ascii="宋体" w:hAnsi="宋体" w:cs="宋体"/>
                <w:color w:val="auto"/>
                <w:sz w:val="24"/>
                <w:szCs w:val="24"/>
                <w:highlight w:val="none"/>
                <w:lang w:bidi="ar"/>
              </w:rPr>
              <w:t>的</w:t>
            </w:r>
            <w:r>
              <w:rPr>
                <w:rFonts w:hint="eastAsia" w:ascii="宋体" w:hAnsi="宋体" w:eastAsia="宋体" w:cs="宋体"/>
                <w:i w:val="0"/>
                <w:iCs w:val="0"/>
                <w:color w:val="auto"/>
                <w:sz w:val="24"/>
                <w:szCs w:val="24"/>
                <w:highlight w:val="none"/>
                <w:lang w:val="en-US" w:eastAsia="zh-CN"/>
              </w:rPr>
              <w:t>驻点运维人员</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人):</w:t>
            </w:r>
            <w:r>
              <w:rPr>
                <w:rFonts w:hint="eastAsia" w:ascii="宋体" w:hAnsi="宋体" w:cs="宋体"/>
                <w:color w:val="auto"/>
                <w:sz w:val="24"/>
                <w:szCs w:val="24"/>
                <w:highlight w:val="none"/>
                <w:u w:val="none"/>
                <w:lang w:bidi="ar"/>
              </w:rPr>
              <w:t>具有</w:t>
            </w:r>
            <w:r>
              <w:rPr>
                <w:rFonts w:hint="eastAsia" w:ascii="宋体" w:hAnsi="宋体" w:eastAsia="宋体" w:cs="宋体"/>
                <w:color w:val="auto"/>
                <w:kern w:val="0"/>
                <w:sz w:val="24"/>
                <w:szCs w:val="24"/>
                <w:highlight w:val="none"/>
                <w:u w:val="none"/>
                <w:lang w:val="en-US" w:eastAsia="zh-CN" w:bidi="ar"/>
              </w:rPr>
              <w:t>①</w:t>
            </w:r>
            <w:r>
              <w:rPr>
                <w:rFonts w:hint="eastAsia" w:ascii="宋体" w:hAnsi="宋体" w:cs="宋体"/>
                <w:color w:val="auto"/>
                <w:sz w:val="24"/>
                <w:szCs w:val="24"/>
                <w:highlight w:val="none"/>
                <w:u w:val="none"/>
                <w:lang w:val="en-US" w:eastAsia="zh-CN"/>
              </w:rPr>
              <w:t>人社部门或工信部门</w:t>
            </w:r>
            <w:r>
              <w:rPr>
                <w:rFonts w:hint="eastAsia" w:ascii="宋体" w:hAnsi="宋体" w:cs="宋体"/>
                <w:color w:val="auto"/>
                <w:sz w:val="24"/>
                <w:szCs w:val="24"/>
                <w:highlight w:val="none"/>
                <w:u w:val="none"/>
              </w:rPr>
              <w:t>颁发的</w:t>
            </w:r>
            <w:r>
              <w:rPr>
                <w:rFonts w:hint="eastAsia" w:ascii="宋体" w:hAnsi="宋体" w:eastAsia="宋体" w:cs="宋体"/>
                <w:color w:val="auto"/>
                <w:kern w:val="0"/>
                <w:sz w:val="24"/>
                <w:szCs w:val="24"/>
                <w:highlight w:val="none"/>
                <w:u w:val="none"/>
                <w:lang w:val="en-US" w:eastAsia="zh-CN" w:bidi="ar"/>
              </w:rPr>
              <w:t>计算机技术与软件专业技术资格证书(中级或中级以上)</w:t>
            </w:r>
            <w:r>
              <w:rPr>
                <w:rFonts w:hint="eastAsia" w:ascii="宋体" w:hAnsi="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bidi="ar"/>
              </w:rPr>
              <w:t>②</w:t>
            </w:r>
            <w:r>
              <w:rPr>
                <w:rFonts w:hint="eastAsia" w:ascii="宋体" w:hAnsi="宋体" w:cs="宋体"/>
                <w:color w:val="auto"/>
                <w:sz w:val="24"/>
                <w:szCs w:val="24"/>
                <w:highlight w:val="none"/>
                <w:u w:val="none"/>
              </w:rPr>
              <w:t>信息安全保障人员证书（安全</w:t>
            </w:r>
            <w:r>
              <w:rPr>
                <w:rFonts w:hint="eastAsia" w:ascii="宋体" w:hAnsi="宋体" w:cs="宋体"/>
                <w:color w:val="auto"/>
                <w:sz w:val="24"/>
                <w:szCs w:val="24"/>
                <w:highlight w:val="none"/>
                <w:u w:val="none"/>
                <w:lang w:eastAsia="zh-CN"/>
              </w:rPr>
              <w:t>运维</w:t>
            </w:r>
            <w:r>
              <w:rPr>
                <w:rFonts w:hint="eastAsia" w:ascii="宋体" w:hAnsi="宋体" w:cs="宋体"/>
                <w:color w:val="auto"/>
                <w:sz w:val="24"/>
                <w:szCs w:val="24"/>
                <w:highlight w:val="none"/>
                <w:u w:val="none"/>
              </w:rPr>
              <w:t>（专业级））</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bidi="ar"/>
              </w:rPr>
              <w:t>每提供一项的得1分，满分</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分。</w:t>
            </w:r>
          </w:p>
          <w:p w14:paraId="4C9FAD5A">
            <w:pPr>
              <w:widowControl/>
              <w:spacing w:line="360" w:lineRule="auto"/>
              <w:jc w:val="left"/>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注：①</w:t>
            </w:r>
            <w:r>
              <w:rPr>
                <w:rFonts w:ascii="宋体" w:hAnsi="宋体" w:cs="宋体"/>
                <w:b w:val="0"/>
                <w:bCs w:val="0"/>
                <w:color w:val="auto"/>
                <w:sz w:val="24"/>
                <w:szCs w:val="24"/>
                <w:highlight w:val="none"/>
                <w:u w:val="none"/>
              </w:rPr>
              <w:t>须提供有效证书复印件及</w:t>
            </w:r>
            <w:r>
              <w:rPr>
                <w:rFonts w:hint="eastAsia" w:ascii="宋体" w:hAnsi="宋体" w:cs="宋体"/>
                <w:b w:val="0"/>
                <w:bCs w:val="0"/>
                <w:color w:val="auto"/>
                <w:sz w:val="24"/>
                <w:szCs w:val="24"/>
                <w:highlight w:val="none"/>
                <w:u w:val="none"/>
                <w:lang w:eastAsia="zh-CN"/>
              </w:rPr>
              <w:t>投标</w:t>
            </w:r>
            <w:r>
              <w:rPr>
                <w:rFonts w:ascii="宋体" w:hAnsi="宋体" w:cs="宋体"/>
                <w:b w:val="0"/>
                <w:bCs w:val="0"/>
                <w:color w:val="auto"/>
                <w:sz w:val="24"/>
                <w:szCs w:val="24"/>
                <w:highlight w:val="none"/>
                <w:u w:val="none"/>
              </w:rPr>
              <w:t>截止时间前六个月任意一个月（</w:t>
            </w:r>
            <w:r>
              <w:rPr>
                <w:rFonts w:hint="eastAsia" w:ascii="宋体" w:hAnsi="宋体" w:cs="宋体"/>
                <w:b w:val="0"/>
                <w:bCs w:val="0"/>
                <w:color w:val="auto"/>
                <w:sz w:val="24"/>
                <w:szCs w:val="24"/>
                <w:highlight w:val="none"/>
                <w:u w:val="none"/>
                <w:lang w:eastAsia="zh-CN"/>
              </w:rPr>
              <w:t>可提供</w:t>
            </w:r>
            <w:r>
              <w:rPr>
                <w:rFonts w:ascii="宋体" w:hAnsi="宋体" w:cs="宋体"/>
                <w:b w:val="0"/>
                <w:bCs w:val="0"/>
                <w:color w:val="auto"/>
                <w:sz w:val="24"/>
                <w:szCs w:val="24"/>
                <w:highlight w:val="none"/>
                <w:u w:val="none"/>
              </w:rPr>
              <w:t>含投标截止时间当月）投标人为其缴纳社保证明</w:t>
            </w:r>
            <w:r>
              <w:rPr>
                <w:rFonts w:hint="eastAsia" w:ascii="宋体" w:hAnsi="宋体" w:cs="宋体"/>
                <w:b w:val="0"/>
                <w:bCs w:val="0"/>
                <w:color w:val="auto"/>
                <w:sz w:val="24"/>
                <w:szCs w:val="24"/>
                <w:highlight w:val="none"/>
                <w:u w:val="none"/>
              </w:rPr>
              <w:t>、中标后投入该人员</w:t>
            </w:r>
            <w:r>
              <w:rPr>
                <w:rFonts w:hint="eastAsia" w:ascii="宋体" w:hAnsi="宋体" w:cs="宋体"/>
                <w:b w:val="0"/>
                <w:bCs w:val="0"/>
                <w:color w:val="auto"/>
                <w:sz w:val="24"/>
                <w:szCs w:val="24"/>
                <w:highlight w:val="none"/>
                <w:u w:val="none"/>
                <w:lang w:val="en-US" w:eastAsia="zh-CN"/>
              </w:rPr>
              <w:t>到</w:t>
            </w:r>
            <w:r>
              <w:rPr>
                <w:rFonts w:hint="eastAsia" w:ascii="宋体" w:hAnsi="宋体" w:cs="宋体"/>
                <w:b w:val="0"/>
                <w:bCs w:val="0"/>
                <w:color w:val="auto"/>
                <w:sz w:val="24"/>
                <w:szCs w:val="24"/>
                <w:highlight w:val="none"/>
                <w:u w:val="none"/>
              </w:rPr>
              <w:t>本</w:t>
            </w:r>
            <w:r>
              <w:rPr>
                <w:rFonts w:hint="eastAsia" w:ascii="宋体" w:hAnsi="宋体"/>
                <w:b w:val="0"/>
                <w:bCs w:val="0"/>
                <w:color w:val="auto"/>
                <w:sz w:val="24"/>
                <w:szCs w:val="24"/>
                <w:highlight w:val="none"/>
                <w:u w:val="none"/>
                <w:lang w:eastAsia="zh-CN"/>
              </w:rPr>
              <w:t>项目</w:t>
            </w:r>
            <w:r>
              <w:rPr>
                <w:rFonts w:hint="eastAsia" w:ascii="宋体" w:hAnsi="宋体" w:cs="宋体"/>
                <w:b w:val="0"/>
                <w:bCs w:val="0"/>
                <w:color w:val="auto"/>
                <w:sz w:val="24"/>
                <w:szCs w:val="24"/>
                <w:highlight w:val="none"/>
                <w:u w:val="none"/>
              </w:rPr>
              <w:t>工作的</w:t>
            </w:r>
            <w:r>
              <w:rPr>
                <w:rFonts w:hint="eastAsia" w:ascii="宋体" w:hAnsi="宋体" w:cs="宋体"/>
                <w:b w:val="0"/>
                <w:bCs w:val="0"/>
                <w:color w:val="auto"/>
                <w:sz w:val="24"/>
                <w:szCs w:val="24"/>
                <w:highlight w:val="none"/>
                <w:u w:val="none"/>
                <w:lang w:val="en-US" w:eastAsia="zh-CN"/>
              </w:rPr>
              <w:t>单独专项</w:t>
            </w:r>
            <w:r>
              <w:rPr>
                <w:rFonts w:hint="eastAsia" w:ascii="宋体" w:hAnsi="宋体" w:cs="宋体"/>
                <w:b w:val="0"/>
                <w:bCs w:val="0"/>
                <w:color w:val="auto"/>
                <w:sz w:val="24"/>
                <w:szCs w:val="24"/>
                <w:highlight w:val="none"/>
                <w:u w:val="none"/>
              </w:rPr>
              <w:t>承诺函（格式自拟）</w:t>
            </w:r>
            <w:r>
              <w:rPr>
                <w:rFonts w:ascii="宋体" w:hAnsi="宋体" w:cs="宋体"/>
                <w:b w:val="0"/>
                <w:bCs w:val="0"/>
                <w:color w:val="auto"/>
                <w:sz w:val="24"/>
                <w:szCs w:val="24"/>
                <w:highlight w:val="none"/>
                <w:u w:val="none"/>
              </w:rPr>
              <w:t>，否则不得分。</w:t>
            </w:r>
            <w:r>
              <w:rPr>
                <w:rFonts w:hint="eastAsia" w:ascii="宋体" w:hAnsi="宋体" w:cs="宋体"/>
                <w:b w:val="0"/>
                <w:bCs w:val="0"/>
                <w:color w:val="auto"/>
                <w:sz w:val="24"/>
                <w:szCs w:val="24"/>
                <w:highlight w:val="none"/>
                <w:u w:val="none"/>
                <w:lang w:val="en-US" w:eastAsia="zh-CN"/>
              </w:rPr>
              <w:t>②</w:t>
            </w:r>
            <w:r>
              <w:rPr>
                <w:rFonts w:hint="eastAsia" w:ascii="宋体" w:hAnsi="宋体" w:cs="宋体"/>
                <w:b w:val="0"/>
                <w:bCs w:val="0"/>
                <w:color w:val="auto"/>
                <w:sz w:val="24"/>
                <w:szCs w:val="24"/>
                <w:highlight w:val="none"/>
                <w:u w:val="none"/>
              </w:rPr>
              <w:t>项目</w:t>
            </w:r>
            <w:r>
              <w:rPr>
                <w:rFonts w:hint="eastAsia" w:ascii="宋体" w:hAnsi="宋体" w:cs="宋体"/>
                <w:b w:val="0"/>
                <w:bCs w:val="0"/>
                <w:color w:val="auto"/>
                <w:sz w:val="24"/>
                <w:szCs w:val="24"/>
                <w:highlight w:val="none"/>
                <w:u w:val="none"/>
                <w:lang w:eastAsia="zh-CN"/>
              </w:rPr>
              <w:t>负责人</w:t>
            </w:r>
            <w:r>
              <w:rPr>
                <w:rFonts w:hint="eastAsia" w:ascii="宋体" w:hAnsi="宋体" w:cs="宋体"/>
                <w:b w:val="0"/>
                <w:bCs w:val="0"/>
                <w:color w:val="auto"/>
                <w:sz w:val="24"/>
                <w:szCs w:val="24"/>
                <w:highlight w:val="none"/>
                <w:u w:val="none"/>
              </w:rPr>
              <w:t>、技术负责人、</w:t>
            </w:r>
            <w:r>
              <w:rPr>
                <w:rFonts w:hint="eastAsia" w:ascii="宋体" w:hAnsi="宋体" w:eastAsia="宋体" w:cs="宋体"/>
                <w:i w:val="0"/>
                <w:iCs w:val="0"/>
                <w:color w:val="auto"/>
                <w:sz w:val="24"/>
                <w:szCs w:val="24"/>
                <w:highlight w:val="none"/>
                <w:lang w:val="en-US" w:eastAsia="zh-CN"/>
              </w:rPr>
              <w:t>开发工程师、驻点运维人员、</w:t>
            </w:r>
            <w:r>
              <w:rPr>
                <w:rFonts w:hint="eastAsia" w:ascii="宋体" w:hAnsi="宋体" w:cs="宋体"/>
                <w:b w:val="0"/>
                <w:bCs w:val="0"/>
                <w:color w:val="auto"/>
                <w:sz w:val="24"/>
                <w:szCs w:val="24"/>
                <w:highlight w:val="none"/>
                <w:u w:val="none"/>
              </w:rPr>
              <w:t>团队其他人员</w:t>
            </w:r>
            <w:r>
              <w:rPr>
                <w:rFonts w:hint="eastAsia" w:ascii="宋体" w:hAnsi="宋体" w:cs="宋体"/>
                <w:b w:val="0"/>
                <w:bCs w:val="0"/>
                <w:color w:val="auto"/>
                <w:sz w:val="24"/>
                <w:szCs w:val="24"/>
                <w:highlight w:val="none"/>
                <w:u w:val="none"/>
                <w:lang w:val="en-US" w:eastAsia="zh-CN"/>
              </w:rPr>
              <w:t>一人一岗，</w:t>
            </w:r>
            <w:r>
              <w:rPr>
                <w:rFonts w:hint="eastAsia" w:ascii="宋体" w:hAnsi="宋体" w:cs="宋体"/>
                <w:b w:val="0"/>
                <w:bCs w:val="0"/>
                <w:color w:val="auto"/>
                <w:sz w:val="24"/>
                <w:szCs w:val="24"/>
                <w:highlight w:val="none"/>
                <w:u w:val="none"/>
              </w:rPr>
              <w:t>均不重复得分。</w:t>
            </w:r>
          </w:p>
        </w:tc>
      </w:tr>
      <w:tr w14:paraId="1DEA6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restart"/>
            <w:tcBorders>
              <w:top w:val="single" w:color="auto" w:sz="2" w:space="0"/>
              <w:left w:val="single" w:color="auto" w:sz="2" w:space="0"/>
              <w:right w:val="single" w:color="auto" w:sz="2" w:space="0"/>
            </w:tcBorders>
            <w:noWrap w:val="0"/>
            <w:vAlign w:val="center"/>
          </w:tcPr>
          <w:p w14:paraId="66E19ED4">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软件匹配程度</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42D1CE0F">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1DBA6652">
            <w:pPr>
              <w:widowControl/>
              <w:numPr>
                <w:ilvl w:val="0"/>
                <w:numId w:val="0"/>
              </w:numPr>
              <w:spacing w:before="48" w:beforeLines="20"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.1、根据</w:t>
            </w:r>
            <w:r>
              <w:rPr>
                <w:rFonts w:hint="eastAsia" w:ascii="宋体" w:hAnsi="宋体" w:eastAsia="宋体" w:cs="宋体"/>
                <w:color w:val="auto"/>
                <w:kern w:val="0"/>
                <w:sz w:val="24"/>
                <w:szCs w:val="24"/>
                <w:highlight w:val="none"/>
                <w:lang w:bidi="ar"/>
              </w:rPr>
              <w:t>投标人</w:t>
            </w:r>
            <w:r>
              <w:rPr>
                <w:rFonts w:hint="eastAsia" w:ascii="宋体" w:hAnsi="宋体" w:eastAsia="宋体" w:cs="宋体"/>
                <w:color w:val="auto"/>
                <w:kern w:val="0"/>
                <w:sz w:val="24"/>
                <w:szCs w:val="24"/>
                <w:highlight w:val="none"/>
                <w:lang w:val="en-US" w:eastAsia="zh-CN" w:bidi="ar"/>
              </w:rPr>
              <w:t>具有与</w:t>
            </w:r>
            <w:r>
              <w:rPr>
                <w:rFonts w:hint="eastAsia" w:ascii="宋体" w:hAnsi="宋体" w:cs="宋体"/>
                <w:color w:val="auto"/>
                <w:kern w:val="0"/>
                <w:sz w:val="24"/>
                <w:szCs w:val="24"/>
                <w:highlight w:val="none"/>
                <w:lang w:val="en-US" w:eastAsia="zh-CN" w:bidi="ar"/>
              </w:rPr>
              <w:t>人事</w:t>
            </w:r>
            <w:r>
              <w:rPr>
                <w:rFonts w:hint="eastAsia" w:ascii="宋体" w:hAnsi="宋体" w:eastAsia="宋体" w:cs="宋体"/>
                <w:color w:val="auto"/>
                <w:kern w:val="0"/>
                <w:sz w:val="24"/>
                <w:szCs w:val="24"/>
                <w:highlight w:val="none"/>
                <w:lang w:val="en-US" w:eastAsia="zh-CN" w:bidi="ar"/>
              </w:rPr>
              <w:t>管理平台相关的软件著作权证书</w:t>
            </w:r>
            <w:r>
              <w:rPr>
                <w:rFonts w:hint="eastAsia" w:ascii="宋体" w:hAnsi="宋体" w:eastAsia="宋体" w:cs="宋体"/>
                <w:color w:val="auto"/>
                <w:kern w:val="0"/>
                <w:sz w:val="24"/>
                <w:szCs w:val="24"/>
                <w:highlight w:val="none"/>
                <w:lang w:eastAsia="zh-CN" w:bidi="ar"/>
              </w:rPr>
              <w:t>的得</w:t>
            </w:r>
            <w:r>
              <w:rPr>
                <w:rFonts w:hint="eastAsia" w:ascii="宋体" w:hAnsi="宋体" w:eastAsia="宋体" w:cs="宋体"/>
                <w:color w:val="auto"/>
                <w:kern w:val="0"/>
                <w:sz w:val="24"/>
                <w:szCs w:val="24"/>
                <w:highlight w:val="none"/>
                <w:lang w:val="en-US" w:eastAsia="zh-CN" w:bidi="ar"/>
              </w:rPr>
              <w:t>1分</w:t>
            </w:r>
            <w:r>
              <w:rPr>
                <w:rFonts w:hint="eastAsia" w:ascii="宋体" w:hAnsi="宋体" w:eastAsia="宋体" w:cs="宋体"/>
                <w:color w:val="auto"/>
                <w:kern w:val="0"/>
                <w:sz w:val="24"/>
                <w:szCs w:val="24"/>
                <w:highlight w:val="none"/>
                <w:lang w:eastAsia="zh-CN" w:bidi="ar"/>
              </w:rPr>
              <w:t>。</w:t>
            </w:r>
          </w:p>
          <w:p w14:paraId="77DC72B3">
            <w:pPr>
              <w:widowControl/>
              <w:numPr>
                <w:ilvl w:val="0"/>
                <w:numId w:val="0"/>
              </w:numPr>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7D24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continue"/>
            <w:tcBorders>
              <w:left w:val="single" w:color="auto" w:sz="2" w:space="0"/>
              <w:right w:val="single" w:color="auto" w:sz="2" w:space="0"/>
            </w:tcBorders>
            <w:noWrap w:val="0"/>
            <w:vAlign w:val="center"/>
          </w:tcPr>
          <w:p w14:paraId="44843F22">
            <w:pPr>
              <w:widowControl/>
              <w:spacing w:line="360" w:lineRule="auto"/>
              <w:jc w:val="center"/>
              <w:rPr>
                <w:rFonts w:hint="eastAsia" w:ascii="宋体" w:hAnsi="宋体" w:eastAsia="宋体" w:cs="宋体"/>
                <w:color w:val="auto"/>
                <w:sz w:val="24"/>
                <w:szCs w:val="24"/>
                <w:highlight w:val="none"/>
                <w:lang w:val="en-US" w:eastAsia="zh-CN" w:bidi="ar"/>
              </w:rPr>
            </w:pPr>
          </w:p>
        </w:tc>
        <w:tc>
          <w:tcPr>
            <w:tcW w:w="902" w:type="dxa"/>
            <w:tcBorders>
              <w:top w:val="single" w:color="auto" w:sz="2" w:space="0"/>
              <w:left w:val="single" w:color="auto" w:sz="2" w:space="0"/>
              <w:bottom w:val="single" w:color="auto" w:sz="2" w:space="0"/>
              <w:right w:val="single" w:color="auto" w:sz="2" w:space="0"/>
            </w:tcBorders>
            <w:noWrap w:val="0"/>
            <w:vAlign w:val="center"/>
          </w:tcPr>
          <w:p w14:paraId="5B3363D7">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2489B3DC">
            <w:pPr>
              <w:widowControl/>
              <w:numPr>
                <w:ilvl w:val="0"/>
                <w:numId w:val="0"/>
              </w:numPr>
              <w:spacing w:before="48" w:beforeLines="20"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bidi="ar"/>
              </w:rPr>
              <w:t>投标人具有</w:t>
            </w:r>
            <w:r>
              <w:rPr>
                <w:rFonts w:hint="eastAsia" w:ascii="宋体" w:hAnsi="宋体" w:eastAsia="宋体" w:cs="宋体"/>
                <w:color w:val="auto"/>
                <w:kern w:val="0"/>
                <w:sz w:val="24"/>
                <w:szCs w:val="24"/>
                <w:highlight w:val="none"/>
                <w:lang w:val="en-US" w:eastAsia="zh-CN" w:bidi="ar"/>
              </w:rPr>
              <w:t>与</w:t>
            </w:r>
            <w:r>
              <w:rPr>
                <w:rFonts w:hint="eastAsia" w:ascii="宋体" w:hAnsi="宋体" w:cs="宋体"/>
                <w:color w:val="auto"/>
                <w:kern w:val="0"/>
                <w:sz w:val="24"/>
                <w:szCs w:val="24"/>
                <w:highlight w:val="none"/>
                <w:lang w:val="en-US" w:eastAsia="zh-CN" w:bidi="ar"/>
              </w:rPr>
              <w:t>数据采集相关的</w:t>
            </w:r>
            <w:r>
              <w:rPr>
                <w:rFonts w:hint="eastAsia" w:ascii="宋体" w:hAnsi="宋体" w:eastAsia="宋体" w:cs="宋体"/>
                <w:color w:val="auto"/>
                <w:kern w:val="0"/>
                <w:sz w:val="24"/>
                <w:szCs w:val="24"/>
                <w:highlight w:val="none"/>
                <w:lang w:val="en-US" w:eastAsia="zh-CN" w:bidi="ar"/>
              </w:rPr>
              <w:t>软件著作权证书</w:t>
            </w:r>
            <w:r>
              <w:rPr>
                <w:rFonts w:hint="eastAsia" w:ascii="宋体" w:hAnsi="宋体" w:eastAsia="宋体" w:cs="宋体"/>
                <w:color w:val="auto"/>
                <w:kern w:val="0"/>
                <w:sz w:val="24"/>
                <w:szCs w:val="24"/>
                <w:highlight w:val="none"/>
                <w:lang w:eastAsia="zh-CN" w:bidi="ar"/>
              </w:rPr>
              <w:t>的得</w:t>
            </w:r>
            <w:r>
              <w:rPr>
                <w:rFonts w:hint="eastAsia" w:ascii="宋体" w:hAnsi="宋体" w:eastAsia="宋体" w:cs="宋体"/>
                <w:color w:val="auto"/>
                <w:kern w:val="0"/>
                <w:sz w:val="24"/>
                <w:szCs w:val="24"/>
                <w:highlight w:val="none"/>
                <w:lang w:val="en-US" w:eastAsia="zh-CN" w:bidi="ar"/>
              </w:rPr>
              <w:t>1分</w:t>
            </w:r>
            <w:r>
              <w:rPr>
                <w:rFonts w:hint="eastAsia" w:ascii="宋体" w:hAnsi="宋体" w:eastAsia="宋体" w:cs="宋体"/>
                <w:color w:val="auto"/>
                <w:kern w:val="0"/>
                <w:sz w:val="24"/>
                <w:szCs w:val="24"/>
                <w:highlight w:val="none"/>
                <w:lang w:eastAsia="zh-CN" w:bidi="ar"/>
              </w:rPr>
              <w:t>。</w:t>
            </w:r>
          </w:p>
          <w:p w14:paraId="4B23716B">
            <w:pPr>
              <w:widowControl/>
              <w:numPr>
                <w:ilvl w:val="0"/>
                <w:numId w:val="0"/>
              </w:numPr>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7DABD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continue"/>
            <w:tcBorders>
              <w:left w:val="single" w:color="auto" w:sz="2" w:space="0"/>
              <w:right w:val="single" w:color="auto" w:sz="2" w:space="0"/>
            </w:tcBorders>
            <w:noWrap w:val="0"/>
            <w:vAlign w:val="center"/>
          </w:tcPr>
          <w:p w14:paraId="38BB8413">
            <w:pPr>
              <w:widowControl/>
              <w:spacing w:line="360" w:lineRule="auto"/>
              <w:jc w:val="center"/>
              <w:rPr>
                <w:rFonts w:hint="eastAsia" w:ascii="宋体" w:hAnsi="宋体" w:eastAsia="宋体" w:cs="宋体"/>
                <w:color w:val="auto"/>
                <w:sz w:val="24"/>
                <w:szCs w:val="24"/>
                <w:highlight w:val="none"/>
                <w:lang w:val="en-US" w:eastAsia="zh-CN" w:bidi="ar"/>
              </w:rPr>
            </w:pPr>
          </w:p>
        </w:tc>
        <w:tc>
          <w:tcPr>
            <w:tcW w:w="902" w:type="dxa"/>
            <w:tcBorders>
              <w:top w:val="single" w:color="auto" w:sz="2" w:space="0"/>
              <w:left w:val="single" w:color="auto" w:sz="2" w:space="0"/>
              <w:bottom w:val="single" w:color="auto" w:sz="2" w:space="0"/>
              <w:right w:val="single" w:color="auto" w:sz="2" w:space="0"/>
            </w:tcBorders>
            <w:noWrap w:val="0"/>
            <w:vAlign w:val="center"/>
          </w:tcPr>
          <w:p w14:paraId="543D57FA">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4CE68DC5">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bidi="ar"/>
              </w:rPr>
              <w:t>投标人具有</w:t>
            </w:r>
            <w:r>
              <w:rPr>
                <w:rFonts w:hint="eastAsia" w:ascii="宋体" w:hAnsi="宋体" w:eastAsia="宋体" w:cs="宋体"/>
                <w:color w:val="auto"/>
                <w:kern w:val="0"/>
                <w:sz w:val="24"/>
                <w:szCs w:val="24"/>
                <w:highlight w:val="none"/>
                <w:lang w:val="en-US" w:eastAsia="zh-CN" w:bidi="ar"/>
              </w:rPr>
              <w:t>与运维服务</w:t>
            </w:r>
            <w:r>
              <w:rPr>
                <w:rFonts w:hint="eastAsia" w:ascii="宋体" w:hAnsi="宋体" w:cs="宋体"/>
                <w:color w:val="auto"/>
                <w:kern w:val="0"/>
                <w:sz w:val="24"/>
                <w:szCs w:val="24"/>
                <w:highlight w:val="none"/>
                <w:lang w:val="en-US" w:eastAsia="zh-CN" w:bidi="ar"/>
              </w:rPr>
              <w:t>相关的</w:t>
            </w:r>
            <w:r>
              <w:rPr>
                <w:rFonts w:hint="eastAsia" w:ascii="宋体" w:hAnsi="宋体" w:eastAsia="宋体" w:cs="宋体"/>
                <w:color w:val="auto"/>
                <w:kern w:val="0"/>
                <w:sz w:val="24"/>
                <w:szCs w:val="24"/>
                <w:highlight w:val="none"/>
                <w:lang w:val="en-US" w:eastAsia="zh-CN" w:bidi="ar"/>
              </w:rPr>
              <w:t>软件著作权证书</w:t>
            </w:r>
            <w:r>
              <w:rPr>
                <w:rFonts w:hint="eastAsia" w:ascii="宋体" w:hAnsi="宋体" w:eastAsia="宋体" w:cs="宋体"/>
                <w:color w:val="auto"/>
                <w:kern w:val="0"/>
                <w:sz w:val="24"/>
                <w:szCs w:val="24"/>
                <w:highlight w:val="none"/>
                <w:lang w:eastAsia="zh-CN" w:bidi="ar"/>
              </w:rPr>
              <w:t>的得</w:t>
            </w:r>
            <w:r>
              <w:rPr>
                <w:rFonts w:hint="eastAsia" w:ascii="宋体" w:hAnsi="宋体" w:eastAsia="宋体" w:cs="宋体"/>
                <w:color w:val="auto"/>
                <w:kern w:val="0"/>
                <w:sz w:val="24"/>
                <w:szCs w:val="24"/>
                <w:highlight w:val="none"/>
                <w:lang w:val="en-US" w:eastAsia="zh-CN" w:bidi="ar"/>
              </w:rPr>
              <w:t>1分</w:t>
            </w:r>
            <w:r>
              <w:rPr>
                <w:rFonts w:hint="eastAsia" w:ascii="宋体" w:hAnsi="宋体" w:eastAsia="宋体" w:cs="宋体"/>
                <w:color w:val="auto"/>
                <w:kern w:val="0"/>
                <w:sz w:val="24"/>
                <w:szCs w:val="24"/>
                <w:highlight w:val="none"/>
                <w:lang w:eastAsia="zh-CN" w:bidi="ar"/>
              </w:rPr>
              <w:t>。</w:t>
            </w:r>
          </w:p>
          <w:p w14:paraId="07320F50">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33D46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vMerge w:val="continue"/>
            <w:tcBorders>
              <w:left w:val="single" w:color="auto" w:sz="2" w:space="0"/>
              <w:right w:val="single" w:color="auto" w:sz="2" w:space="0"/>
            </w:tcBorders>
            <w:noWrap w:val="0"/>
            <w:vAlign w:val="center"/>
          </w:tcPr>
          <w:p w14:paraId="20920E32">
            <w:pPr>
              <w:widowControl/>
              <w:spacing w:line="360" w:lineRule="auto"/>
              <w:jc w:val="center"/>
              <w:rPr>
                <w:rFonts w:hint="eastAsia" w:ascii="宋体" w:hAnsi="宋体" w:eastAsia="宋体" w:cs="宋体"/>
                <w:color w:val="auto"/>
                <w:sz w:val="24"/>
                <w:szCs w:val="24"/>
                <w:highlight w:val="none"/>
                <w:lang w:val="en-US" w:eastAsia="zh-CN" w:bidi="ar"/>
              </w:rPr>
            </w:pPr>
          </w:p>
        </w:tc>
        <w:tc>
          <w:tcPr>
            <w:tcW w:w="902" w:type="dxa"/>
            <w:tcBorders>
              <w:top w:val="single" w:color="auto" w:sz="2" w:space="0"/>
              <w:left w:val="single" w:color="auto" w:sz="2" w:space="0"/>
              <w:bottom w:val="single" w:color="auto" w:sz="2" w:space="0"/>
              <w:right w:val="single" w:color="auto" w:sz="2" w:space="0"/>
            </w:tcBorders>
            <w:noWrap w:val="0"/>
            <w:vAlign w:val="center"/>
          </w:tcPr>
          <w:p w14:paraId="6900B773">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26BB2BE3">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、根据投标人具有与安全相关管理类软件著作权证书的得1分</w:t>
            </w:r>
            <w:r>
              <w:rPr>
                <w:rFonts w:hint="eastAsia" w:ascii="宋体" w:hAnsi="宋体" w:eastAsia="宋体" w:cs="宋体"/>
                <w:color w:val="auto"/>
                <w:kern w:val="0"/>
                <w:sz w:val="24"/>
                <w:szCs w:val="24"/>
                <w:highlight w:val="none"/>
                <w:lang w:eastAsia="zh-CN" w:bidi="ar"/>
              </w:rPr>
              <w:t>。</w:t>
            </w:r>
          </w:p>
          <w:p w14:paraId="6222EDBB">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须</w:t>
            </w:r>
            <w:r>
              <w:rPr>
                <w:rFonts w:hint="eastAsia" w:ascii="宋体" w:hAnsi="宋体" w:eastAsia="宋体" w:cs="宋体"/>
                <w:color w:val="auto"/>
                <w:kern w:val="0"/>
                <w:sz w:val="24"/>
                <w:szCs w:val="24"/>
                <w:highlight w:val="none"/>
                <w:lang w:bidi="ar"/>
              </w:rPr>
              <w:t>提供国家版权局颁发的《计算机软件著作权证书》复印件</w:t>
            </w:r>
            <w:r>
              <w:rPr>
                <w:rFonts w:hint="eastAsia" w:ascii="宋体" w:hAnsi="宋体" w:eastAsia="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注：</w:t>
            </w:r>
            <w:r>
              <w:rPr>
                <w:rFonts w:hint="eastAsia" w:ascii="宋体" w:hAnsi="宋体" w:eastAsia="宋体" w:cs="宋体"/>
                <w:color w:val="auto"/>
                <w:kern w:val="0"/>
                <w:sz w:val="24"/>
                <w:szCs w:val="24"/>
                <w:highlight w:val="none"/>
                <w:lang w:bidi="ar"/>
              </w:rPr>
              <w:t>《计算机软件著作权证书》生效日期须在本项目投标截止之日前，否则不予计分</w:t>
            </w:r>
            <w:r>
              <w:rPr>
                <w:rFonts w:hint="eastAsia" w:ascii="宋体" w:hAnsi="宋体" w:eastAsia="宋体" w:cs="宋体"/>
                <w:color w:val="auto"/>
                <w:kern w:val="0"/>
                <w:sz w:val="24"/>
                <w:szCs w:val="24"/>
                <w:highlight w:val="none"/>
                <w:lang w:eastAsia="zh-CN" w:bidi="ar"/>
              </w:rPr>
              <w:t>。</w:t>
            </w:r>
          </w:p>
        </w:tc>
      </w:tr>
      <w:tr w14:paraId="503DB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left w:val="single" w:color="auto" w:sz="2" w:space="0"/>
              <w:right w:val="single" w:color="auto" w:sz="2" w:space="0"/>
            </w:tcBorders>
            <w:noWrap w:val="0"/>
            <w:vAlign w:val="center"/>
          </w:tcPr>
          <w:p w14:paraId="37142571">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、干部选拔规范化全流程管理功能演示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3D75FDEA">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1EE1097E">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本项目中干部选拔规范化全流程管理功能，分析研判及动议环节演示要求如下：</w:t>
            </w:r>
          </w:p>
          <w:p w14:paraId="7D0A6768">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（1）支持多选机构，选择晋升职务和截止时间，系统自动筛选出符合晋升该职务层次条件人员，该人员未满足“具有两个及以上职位任职经历”的要求使用绿色标记，得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p>
          <w:p w14:paraId="1185F558">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（2）支持多选机构，选择晋升职级和截止时间，系统自动筛选出符合晋升该职级条件人员，该人员存在年度考核优秀提前符合晋升条件使用绿色标记，得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 xml:space="preserve">  </w:t>
            </w:r>
          </w:p>
          <w:p w14:paraId="7202D3C8">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支持自定义生成选拔任用材料模板，模板可以保存为通用或者仅个人使用。模板配置支持自由选择字段，定义字段显示顺序，自由定义材料标题，是否添加红头、是否逐条输出等。支持选择人员，使用编辑好的模板，导出人员信息word或者PDF，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tc>
      </w:tr>
      <w:tr w14:paraId="6FEB1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left w:val="single" w:color="auto" w:sz="2" w:space="0"/>
              <w:right w:val="single" w:color="auto" w:sz="2" w:space="0"/>
            </w:tcBorders>
            <w:noWrap w:val="0"/>
            <w:vAlign w:val="center"/>
          </w:tcPr>
          <w:p w14:paraId="4D2C7C44">
            <w:pPr>
              <w:widowControl/>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w:t>
            </w:r>
            <w:r>
              <w:rPr>
                <w:rFonts w:hint="default" w:ascii="宋体" w:hAnsi="宋体" w:eastAsia="宋体" w:cs="宋体"/>
                <w:color w:val="auto"/>
                <w:sz w:val="24"/>
                <w:szCs w:val="24"/>
                <w:highlight w:val="none"/>
                <w:lang w:val="en-US" w:eastAsia="zh-CN" w:bidi="ar"/>
              </w:rPr>
              <w:t>平时考核功能演示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701FFB26">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647F64E5">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本项目中平时考核功能演示要求如下：</w:t>
            </w:r>
          </w:p>
          <w:p w14:paraId="02EAC8F7">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（1）影响考核因素设置：自定义考核影响因素，如奖惩情况、试用期情形和其他影响因素登记。支持设置考核因素名称、是否参加考核、是否不确定等次、不得确定</w:t>
            </w:r>
            <w:r>
              <w:rPr>
                <w:rFonts w:hint="eastAsia" w:ascii="宋体" w:hAnsi="宋体" w:eastAsia="宋体" w:cs="宋体"/>
                <w:color w:val="auto"/>
                <w:kern w:val="0"/>
                <w:sz w:val="24"/>
                <w:szCs w:val="24"/>
                <w:highlight w:val="none"/>
                <w:lang w:val="en-US" w:eastAsia="zh-CN" w:bidi="ar"/>
              </w:rPr>
              <w:t>某</w:t>
            </w:r>
            <w:r>
              <w:rPr>
                <w:rFonts w:hint="default" w:ascii="宋体" w:hAnsi="宋体" w:eastAsia="宋体" w:cs="宋体"/>
                <w:color w:val="auto"/>
                <w:kern w:val="0"/>
                <w:sz w:val="24"/>
                <w:szCs w:val="24"/>
                <w:highlight w:val="none"/>
                <w:lang w:val="en-US" w:eastAsia="zh-CN" w:bidi="ar"/>
              </w:rPr>
              <w:t>等次、影响期以及依据文件。在民主测评和上级评价环节，自动关联影响因素，根据文件规定要求进行相应设置和提示，如不能评为“好”的情形，系统不允许评为“好”，得</w:t>
            </w:r>
            <w:r>
              <w:rPr>
                <w:rFonts w:hint="eastAsia" w:ascii="宋体" w:hAnsi="宋体" w:cs="宋体"/>
                <w:color w:val="auto"/>
                <w:kern w:val="0"/>
                <w:sz w:val="24"/>
                <w:szCs w:val="24"/>
                <w:highlight w:val="none"/>
                <w:lang w:val="en-US" w:eastAsia="zh-CN" w:bidi="ar"/>
              </w:rPr>
              <w:t>1</w:t>
            </w:r>
            <w:r>
              <w:rPr>
                <w:rFonts w:hint="default" w:ascii="宋体" w:hAnsi="宋体" w:eastAsia="宋体" w:cs="宋体"/>
                <w:color w:val="auto"/>
                <w:kern w:val="0"/>
                <w:sz w:val="24"/>
                <w:szCs w:val="24"/>
                <w:highlight w:val="none"/>
                <w:lang w:val="en-US" w:eastAsia="zh-CN" w:bidi="ar"/>
              </w:rPr>
              <w:t>分；</w:t>
            </w:r>
          </w:p>
          <w:p w14:paraId="746297F2">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考核单元人员划分：系统提供必要的校验（如考核单元人员不重复）。以树形结构展示考核单元下人员，列出未分配人员。实现给考核单元额外添加测评人。在划分考核单元时要对每月新增人员、退出人员和岗位变动等变化人员，以列表形式展示，供用户划分考核单元作参考。支持考核管理员修改上月结余指标。支持对指定考核单元撤销发布，调整无误后，重新发布，得</w:t>
            </w:r>
            <w:r>
              <w:rPr>
                <w:rFonts w:hint="eastAsia" w:ascii="宋体" w:hAnsi="宋体" w:cs="宋体"/>
                <w:color w:val="auto"/>
                <w:kern w:val="0"/>
                <w:sz w:val="24"/>
                <w:szCs w:val="24"/>
                <w:highlight w:val="none"/>
                <w:lang w:val="en-US" w:eastAsia="zh-CN" w:bidi="ar"/>
              </w:rPr>
              <w:t>1</w:t>
            </w:r>
            <w:r>
              <w:rPr>
                <w:rFonts w:hint="default" w:ascii="宋体" w:hAnsi="宋体" w:eastAsia="宋体" w:cs="宋体"/>
                <w:color w:val="auto"/>
                <w:kern w:val="0"/>
                <w:sz w:val="24"/>
                <w:szCs w:val="24"/>
                <w:highlight w:val="none"/>
                <w:lang w:val="en-US" w:eastAsia="zh-CN" w:bidi="ar"/>
              </w:rPr>
              <w:t>分；</w:t>
            </w:r>
          </w:p>
          <w:p w14:paraId="3832571A">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3）启动月考核：以考核开始-&gt;已配置-&gt;已启动-&gt;考核结果已公示-&gt;考核已结束5个大步骤，监控各单位月考核的进展情况。月考核启动后，以民主测评-&gt;上级评价-&gt;考核小组审批-&gt;考核办审批-&gt;考委会办结为流程阶段，监控每个考核单元的进展情况，得</w:t>
            </w:r>
            <w:r>
              <w:rPr>
                <w:rFonts w:hint="eastAsia" w:ascii="宋体" w:hAnsi="宋体" w:cs="宋体"/>
                <w:color w:val="auto"/>
                <w:kern w:val="0"/>
                <w:sz w:val="24"/>
                <w:szCs w:val="24"/>
                <w:highlight w:val="none"/>
                <w:lang w:val="en-US" w:eastAsia="zh-CN" w:bidi="ar"/>
              </w:rPr>
              <w:t>2</w:t>
            </w:r>
            <w:r>
              <w:rPr>
                <w:rFonts w:hint="default" w:ascii="宋体" w:hAnsi="宋体" w:eastAsia="宋体" w:cs="宋体"/>
                <w:color w:val="auto"/>
                <w:kern w:val="0"/>
                <w:sz w:val="24"/>
                <w:szCs w:val="24"/>
                <w:highlight w:val="none"/>
                <w:lang w:val="en-US" w:eastAsia="zh-CN" w:bidi="ar"/>
              </w:rPr>
              <w:t>分。</w:t>
            </w:r>
          </w:p>
        </w:tc>
      </w:tr>
      <w:tr w14:paraId="01EEE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58" w:type="dxa"/>
            <w:tcBorders>
              <w:left w:val="single" w:color="auto" w:sz="2" w:space="0"/>
              <w:right w:val="single" w:color="auto" w:sz="2" w:space="0"/>
            </w:tcBorders>
            <w:noWrap w:val="0"/>
            <w:vAlign w:val="center"/>
          </w:tcPr>
          <w:p w14:paraId="63B8D7B3">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效能管理工作台功能，督办任务管理演示</w:t>
            </w:r>
          </w:p>
        </w:tc>
        <w:tc>
          <w:tcPr>
            <w:tcW w:w="902" w:type="dxa"/>
            <w:tcBorders>
              <w:top w:val="single" w:color="auto" w:sz="2" w:space="0"/>
              <w:left w:val="single" w:color="auto" w:sz="2" w:space="0"/>
              <w:bottom w:val="single" w:color="auto" w:sz="2" w:space="0"/>
              <w:right w:val="single" w:color="auto" w:sz="2" w:space="0"/>
            </w:tcBorders>
            <w:noWrap w:val="0"/>
            <w:vAlign w:val="center"/>
          </w:tcPr>
          <w:p w14:paraId="5643963E">
            <w:pPr>
              <w:widowControl/>
              <w:spacing w:line="360" w:lineRule="auto"/>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rPr>
              <w:t>.00</w:t>
            </w:r>
          </w:p>
        </w:tc>
        <w:tc>
          <w:tcPr>
            <w:tcW w:w="7278" w:type="dxa"/>
            <w:tcBorders>
              <w:top w:val="single" w:color="auto" w:sz="2" w:space="0"/>
              <w:left w:val="single" w:color="auto" w:sz="2" w:space="0"/>
              <w:bottom w:val="single" w:color="auto" w:sz="2" w:space="0"/>
              <w:right w:val="single" w:color="auto" w:sz="2" w:space="0"/>
            </w:tcBorders>
            <w:noWrap w:val="0"/>
            <w:vAlign w:val="center"/>
          </w:tcPr>
          <w:p w14:paraId="38497A03">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本项目中效能管理工作台功能，督办任务管理演示要求如下：</w:t>
            </w:r>
          </w:p>
          <w:p w14:paraId="4648FF63">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（1）任务全流程管理：支持创建任务，派发任务，系统自动发送系统通知，提醒任务接收人。派发任务系统自动按剩余时间进行颜色标记（蓝色：剩余时间</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70%，黄色：剩余时间</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20%且</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70%，红色：剩余时间</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20%），得1分；</w:t>
            </w:r>
          </w:p>
          <w:p w14:paraId="2CC4C46F">
            <w:pPr>
              <w:widowControl/>
              <w:spacing w:line="360" w:lineRule="auto"/>
              <w:jc w:val="left"/>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任务进度监控与督办管理：提供派发任务进度监控页面，任务派发人可以查看阶段汇报内容。支持对任务进行挂牌督办，对任务稳步推进，能够按时完成的给予蓝牌表示。对任务进展较慢，推进不力的给予黄牌警示。对任务明显滞后，不能按时完成的给予红牌告示。任务支持多次督办，督办数据留痕，支持撤销督办，得1分。</w:t>
            </w:r>
          </w:p>
        </w:tc>
      </w:tr>
    </w:tbl>
    <w:p w14:paraId="1A845750">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lang w:eastAsia="zh-CN"/>
        </w:rPr>
      </w:pPr>
    </w:p>
    <w:p w14:paraId="4BFD1031">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lang w:eastAsia="zh-CN"/>
        </w:rPr>
      </w:pPr>
    </w:p>
    <w:p w14:paraId="44AB5333">
      <w:pPr>
        <w:numPr>
          <w:ilvl w:val="0"/>
          <w:numId w:val="0"/>
        </w:num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二、</w:t>
      </w:r>
      <w:r>
        <w:rPr>
          <w:rFonts w:hint="eastAsia" w:ascii="宋体" w:hAnsi="宋体" w:eastAsia="宋体" w:cs="宋体"/>
          <w:b/>
          <w:bCs w:val="0"/>
          <w:color w:val="auto"/>
          <w:sz w:val="24"/>
          <w:szCs w:val="24"/>
          <w:highlight w:val="none"/>
        </w:rPr>
        <w:t>PB商务部分（</w:t>
      </w:r>
      <w:r>
        <w:rPr>
          <w:rFonts w:hint="eastAsia" w:ascii="宋体" w:hAnsi="宋体" w:cs="宋体"/>
          <w:b/>
          <w:bCs w:val="0"/>
          <w:color w:val="auto"/>
          <w:sz w:val="24"/>
          <w:szCs w:val="24"/>
          <w:highlight w:val="none"/>
          <w:lang w:val="en-US" w:eastAsia="zh-CN"/>
        </w:rPr>
        <w:t>15</w:t>
      </w:r>
      <w:r>
        <w:rPr>
          <w:rFonts w:hint="eastAsia" w:ascii="宋体" w:hAnsi="宋体" w:eastAsia="宋体" w:cs="宋体"/>
          <w:b/>
          <w:bCs w:val="0"/>
          <w:color w:val="auto"/>
          <w:sz w:val="24"/>
          <w:szCs w:val="24"/>
          <w:highlight w:val="none"/>
        </w:rPr>
        <w:t>分）</w:t>
      </w:r>
    </w:p>
    <w:tbl>
      <w:tblPr>
        <w:tblStyle w:val="26"/>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78"/>
        <w:gridCol w:w="889"/>
        <w:gridCol w:w="7271"/>
      </w:tblGrid>
      <w:tr w14:paraId="67116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34C33712">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89" w:type="dxa"/>
            <w:noWrap w:val="0"/>
            <w:vAlign w:val="center"/>
          </w:tcPr>
          <w:p w14:paraId="4E7F7B44">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271" w:type="dxa"/>
            <w:noWrap w:val="0"/>
            <w:vAlign w:val="center"/>
          </w:tcPr>
          <w:p w14:paraId="758C9598">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5CD4A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5C12BE82">
            <w:pPr>
              <w:pStyle w:val="53"/>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业绩</w:t>
            </w:r>
          </w:p>
        </w:tc>
        <w:tc>
          <w:tcPr>
            <w:tcW w:w="889" w:type="dxa"/>
            <w:noWrap w:val="0"/>
            <w:vAlign w:val="center"/>
          </w:tcPr>
          <w:p w14:paraId="1CAC7D9E">
            <w:pPr>
              <w:pStyle w:val="5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7271" w:type="dxa"/>
            <w:noWrap w:val="0"/>
            <w:vAlign w:val="top"/>
          </w:tcPr>
          <w:p w14:paraId="228BB51A">
            <w:pPr>
              <w:pStyle w:val="53"/>
              <w:spacing w:line="360" w:lineRule="auto"/>
              <w:jc w:val="both"/>
              <w:rPr>
                <w:rFonts w:hint="eastAsia" w:ascii="宋体" w:hAnsi="宋体" w:eastAsia="宋体" w:cs="宋体"/>
                <w:color w:val="auto"/>
                <w:sz w:val="24"/>
                <w:szCs w:val="24"/>
                <w:highlight w:val="none"/>
              </w:rPr>
            </w:pPr>
            <w:r>
              <w:rPr>
                <w:rFonts w:hint="eastAsia" w:ascii="宋体" w:hAnsi="宋体" w:cs="宋体"/>
                <w:color w:val="auto"/>
                <w:spacing w:val="5"/>
                <w:sz w:val="24"/>
                <w:highlight w:val="none"/>
              </w:rPr>
              <w:t>根据投标人提供</w:t>
            </w:r>
            <w:r>
              <w:rPr>
                <w:rFonts w:hint="eastAsia" w:ascii="宋体" w:hAnsi="宋体" w:cs="宋体"/>
                <w:color w:val="auto"/>
                <w:spacing w:val="5"/>
                <w:sz w:val="24"/>
                <w:highlight w:val="none"/>
                <w:lang w:eastAsia="zh-CN"/>
              </w:rPr>
              <w:t>自</w:t>
            </w:r>
            <w:r>
              <w:rPr>
                <w:rFonts w:hint="eastAsia" w:ascii="宋体" w:hAnsi="宋体" w:cs="宋体"/>
                <w:color w:val="auto"/>
                <w:spacing w:val="5"/>
                <w:sz w:val="24"/>
                <w:highlight w:val="none"/>
              </w:rPr>
              <w:t>202</w:t>
            </w:r>
            <w:r>
              <w:rPr>
                <w:rFonts w:hint="eastAsia" w:ascii="宋体" w:hAnsi="宋体" w:cs="宋体"/>
                <w:color w:val="auto"/>
                <w:spacing w:val="5"/>
                <w:sz w:val="24"/>
                <w:highlight w:val="none"/>
                <w:lang w:val="en-US" w:eastAsia="zh-CN"/>
              </w:rPr>
              <w:t>2</w:t>
            </w:r>
            <w:r>
              <w:rPr>
                <w:rFonts w:hint="eastAsia" w:ascii="宋体" w:hAnsi="宋体" w:cs="宋体"/>
                <w:color w:val="auto"/>
                <w:spacing w:val="5"/>
                <w:sz w:val="24"/>
                <w:highlight w:val="none"/>
              </w:rPr>
              <w:t>年1月1日至本项目投标截止时间止</w:t>
            </w:r>
            <w:r>
              <w:rPr>
                <w:rFonts w:hint="eastAsia" w:ascii="宋体" w:hAnsi="宋体" w:eastAsia="宋体" w:cs="宋体"/>
                <w:color w:val="auto"/>
                <w:sz w:val="24"/>
                <w:szCs w:val="24"/>
                <w:highlight w:val="none"/>
              </w:rPr>
              <w:t>（日期以合同为准），由投标人承接过的同类项目情况进行评分，每提供一份业绩得1分，满分3分。注：投标人</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提供中标/成交公告（提供相关网站中标/成交公告的下载网页并注明网址）、中标/成交通知书复印件、合同复印件，以及能够证明该业绩项目已经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验收合格的相关证明文件复印件。每个业绩均需完整提供上述证明材料的复印件；未提供或提供不完整的不得分。</w:t>
            </w:r>
          </w:p>
        </w:tc>
      </w:tr>
      <w:tr w14:paraId="06A26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31AACFCE">
            <w:pPr>
              <w:widowControl/>
              <w:spacing w:before="36" w:line="360" w:lineRule="auto"/>
              <w:ind w:left="5" w:leftChars="0" w:right="65" w:rightChars="0"/>
              <w:jc w:val="left"/>
              <w:rPr>
                <w:rFonts w:hint="eastAsia" w:ascii="宋体" w:hAnsi="宋体" w:cs="宋体"/>
                <w:color w:val="auto"/>
                <w:sz w:val="24"/>
                <w:szCs w:val="24"/>
                <w:highlight w:val="none"/>
                <w:lang w:val="en-US" w:eastAsia="zh-CN"/>
              </w:rPr>
            </w:pPr>
            <w:r>
              <w:rPr>
                <w:rFonts w:hint="eastAsia" w:ascii="宋体" w:hAnsi="宋体" w:cs="宋体"/>
                <w:color w:val="auto"/>
                <w:spacing w:val="5"/>
                <w:kern w:val="2"/>
                <w:sz w:val="24"/>
                <w:szCs w:val="24"/>
                <w:highlight w:val="none"/>
                <w:lang w:val="en-US" w:eastAsia="zh-CN"/>
              </w:rPr>
              <w:t>2、满意度评价情况</w:t>
            </w:r>
          </w:p>
        </w:tc>
        <w:tc>
          <w:tcPr>
            <w:tcW w:w="889" w:type="dxa"/>
            <w:noWrap w:val="0"/>
            <w:vAlign w:val="center"/>
          </w:tcPr>
          <w:p w14:paraId="1A9BB983">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w:t>
            </w:r>
            <w:r>
              <w:rPr>
                <w:rStyle w:val="40"/>
                <w:rFonts w:hint="eastAsia" w:ascii="宋体" w:hAnsi="宋体" w:eastAsia="宋体" w:cs="宋体"/>
                <w:color w:val="auto"/>
                <w:sz w:val="24"/>
                <w:szCs w:val="24"/>
                <w:highlight w:val="none"/>
                <w:lang w:val="en-US" w:eastAsia="zh-CN" w:bidi="ar"/>
              </w:rPr>
              <w:t>.00</w:t>
            </w:r>
          </w:p>
        </w:tc>
        <w:tc>
          <w:tcPr>
            <w:tcW w:w="7271" w:type="dxa"/>
            <w:noWrap w:val="0"/>
            <w:vAlign w:val="center"/>
          </w:tcPr>
          <w:p w14:paraId="309605C0">
            <w:pPr>
              <w:widowControl/>
              <w:spacing w:before="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cs="宋体"/>
                <w:color w:val="auto"/>
                <w:spacing w:val="5"/>
                <w:sz w:val="24"/>
                <w:highlight w:val="none"/>
              </w:rPr>
              <w:t>根据投标人提供</w:t>
            </w:r>
            <w:r>
              <w:rPr>
                <w:rFonts w:hint="eastAsia" w:ascii="宋体" w:hAnsi="宋体" w:cs="宋体"/>
                <w:color w:val="auto"/>
                <w:spacing w:val="5"/>
                <w:sz w:val="24"/>
                <w:highlight w:val="none"/>
                <w:lang w:eastAsia="zh-CN"/>
              </w:rPr>
              <w:t>自</w:t>
            </w:r>
            <w:r>
              <w:rPr>
                <w:rFonts w:hint="eastAsia" w:ascii="宋体" w:hAnsi="宋体" w:cs="宋体"/>
                <w:color w:val="auto"/>
                <w:spacing w:val="5"/>
                <w:sz w:val="24"/>
                <w:highlight w:val="none"/>
              </w:rPr>
              <w:t>202</w:t>
            </w:r>
            <w:r>
              <w:rPr>
                <w:rFonts w:hint="eastAsia" w:ascii="宋体" w:hAnsi="宋体" w:cs="宋体"/>
                <w:color w:val="auto"/>
                <w:spacing w:val="5"/>
                <w:sz w:val="24"/>
                <w:highlight w:val="none"/>
                <w:lang w:val="en-US" w:eastAsia="zh-CN"/>
              </w:rPr>
              <w:t>2</w:t>
            </w:r>
            <w:r>
              <w:rPr>
                <w:rFonts w:hint="eastAsia" w:ascii="宋体" w:hAnsi="宋体" w:cs="宋体"/>
                <w:color w:val="auto"/>
                <w:spacing w:val="5"/>
                <w:sz w:val="24"/>
                <w:highlight w:val="none"/>
              </w:rPr>
              <w:t>年1月1日至本项目投标截止时间止（以评价日期为准），每提供一份由业主单位对投标人完成的同类项目，持肯定、满意态度的服务评价证明材料（如评价为“满意”“优秀”或评分为“</w:t>
            </w:r>
            <w:r>
              <w:rPr>
                <w:rFonts w:hint="eastAsia" w:ascii="宋体" w:hAnsi="宋体" w:cs="宋体"/>
                <w:color w:val="auto"/>
                <w:spacing w:val="5"/>
                <w:sz w:val="24"/>
                <w:highlight w:val="none"/>
                <w:lang w:val="en-US" w:eastAsia="zh-CN"/>
              </w:rPr>
              <w:t>90</w:t>
            </w:r>
            <w:r>
              <w:rPr>
                <w:rFonts w:hint="eastAsia" w:ascii="宋体" w:hAnsi="宋体" w:cs="宋体"/>
                <w:color w:val="auto"/>
                <w:spacing w:val="5"/>
                <w:sz w:val="24"/>
                <w:highlight w:val="none"/>
              </w:rPr>
              <w:t>分及以上”等同类评价），由评委进行评分：每提供一份的得1分，满分</w:t>
            </w:r>
            <w:r>
              <w:rPr>
                <w:rFonts w:hint="eastAsia" w:ascii="宋体" w:hAnsi="宋体" w:cs="宋体"/>
                <w:color w:val="auto"/>
                <w:spacing w:val="5"/>
                <w:sz w:val="24"/>
                <w:highlight w:val="none"/>
                <w:lang w:val="en-US" w:eastAsia="zh-CN"/>
              </w:rPr>
              <w:t>2</w:t>
            </w:r>
            <w:r>
              <w:rPr>
                <w:rFonts w:hint="eastAsia" w:ascii="宋体" w:hAnsi="宋体" w:cs="宋体"/>
                <w:color w:val="auto"/>
                <w:spacing w:val="5"/>
                <w:sz w:val="24"/>
                <w:highlight w:val="none"/>
              </w:rPr>
              <w:t>分。注：</w:t>
            </w:r>
            <w:r>
              <w:rPr>
                <w:rFonts w:hint="eastAsia" w:ascii="宋体" w:hAnsi="宋体" w:cs="宋体"/>
                <w:color w:val="auto"/>
                <w:spacing w:val="5"/>
                <w:sz w:val="24"/>
                <w:highlight w:val="none"/>
                <w:lang w:eastAsia="zh-CN"/>
              </w:rPr>
              <w:t>须</w:t>
            </w:r>
            <w:r>
              <w:rPr>
                <w:rFonts w:hint="eastAsia" w:ascii="宋体" w:hAnsi="宋体" w:cs="宋体"/>
                <w:color w:val="auto"/>
                <w:spacing w:val="5"/>
                <w:sz w:val="24"/>
                <w:highlight w:val="none"/>
              </w:rPr>
              <w:t>提供合同复印件、服务单位评价满意证明文本复印件。同一业主单位出具的满意度证明材料不重复得分。</w:t>
            </w:r>
          </w:p>
        </w:tc>
      </w:tr>
      <w:tr w14:paraId="220EC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6AC098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kern w:val="0"/>
                <w:sz w:val="24"/>
                <w:szCs w:val="24"/>
                <w:highlight w:val="none"/>
                <w:lang w:val="en-US" w:eastAsia="zh-CN" w:bidi="ar"/>
              </w:rPr>
              <w:t>3</w:t>
            </w:r>
            <w:r>
              <w:rPr>
                <w:rFonts w:hint="eastAsia" w:ascii="宋体" w:hAnsi="宋体" w:eastAsia="宋体" w:cs="宋体"/>
                <w:i w:val="0"/>
                <w:iCs w:val="0"/>
                <w:caps w:val="0"/>
                <w:color w:val="auto"/>
                <w:spacing w:val="0"/>
                <w:kern w:val="0"/>
                <w:sz w:val="24"/>
                <w:szCs w:val="24"/>
                <w:highlight w:val="none"/>
                <w:lang w:val="en-US" w:eastAsia="zh-CN" w:bidi="ar"/>
              </w:rPr>
              <w:t>、系统培训方案</w:t>
            </w:r>
          </w:p>
        </w:tc>
        <w:tc>
          <w:tcPr>
            <w:tcW w:w="889" w:type="dxa"/>
            <w:noWrap w:val="0"/>
            <w:vAlign w:val="center"/>
          </w:tcPr>
          <w:p w14:paraId="35AF35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shd w:val="clear" w:color="auto" w:fill="auto"/>
                <w:lang w:val="en-US" w:eastAsia="zh-CN" w:bidi="ar"/>
              </w:rPr>
              <w:t>5</w:t>
            </w:r>
            <w:r>
              <w:rPr>
                <w:rFonts w:hint="eastAsia" w:ascii="宋体" w:hAnsi="宋体" w:cs="宋体"/>
                <w:i w:val="0"/>
                <w:iCs w:val="0"/>
                <w:caps w:val="0"/>
                <w:color w:val="auto"/>
                <w:spacing w:val="0"/>
                <w:kern w:val="0"/>
                <w:sz w:val="24"/>
                <w:szCs w:val="24"/>
                <w:highlight w:val="none"/>
                <w:shd w:val="clear" w:color="auto" w:fill="auto"/>
                <w:lang w:val="en-US" w:eastAsia="zh-CN" w:bidi="ar"/>
              </w:rPr>
              <w:t>.00</w:t>
            </w:r>
          </w:p>
        </w:tc>
        <w:tc>
          <w:tcPr>
            <w:tcW w:w="7271" w:type="dxa"/>
            <w:noWrap w:val="0"/>
            <w:vAlign w:val="center"/>
          </w:tcPr>
          <w:p w14:paraId="36B101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根据各投标人针对本项目提供的</w:t>
            </w:r>
            <w:r>
              <w:rPr>
                <w:rFonts w:hint="eastAsia" w:ascii="宋体" w:hAnsi="宋体" w:eastAsia="宋体" w:cs="宋体"/>
                <w:i w:val="0"/>
                <w:iCs w:val="0"/>
                <w:caps w:val="0"/>
                <w:color w:val="auto"/>
                <w:spacing w:val="0"/>
                <w:sz w:val="24"/>
                <w:szCs w:val="24"/>
                <w:highlight w:val="none"/>
                <w:lang w:eastAsia="zh-CN"/>
              </w:rPr>
              <w:t>系统</w:t>
            </w:r>
            <w:r>
              <w:rPr>
                <w:rFonts w:hint="eastAsia" w:ascii="宋体" w:hAnsi="宋体" w:eastAsia="宋体" w:cs="宋体"/>
                <w:i w:val="0"/>
                <w:iCs w:val="0"/>
                <w:caps w:val="0"/>
                <w:color w:val="auto"/>
                <w:spacing w:val="0"/>
                <w:sz w:val="24"/>
                <w:szCs w:val="24"/>
                <w:highlight w:val="none"/>
              </w:rPr>
              <w:t>培训方案（包括培训时间</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培训</w:t>
            </w:r>
            <w:r>
              <w:rPr>
                <w:rFonts w:hint="eastAsia" w:ascii="宋体" w:hAnsi="宋体" w:eastAsia="宋体" w:cs="宋体"/>
                <w:i w:val="0"/>
                <w:iCs w:val="0"/>
                <w:caps w:val="0"/>
                <w:color w:val="auto"/>
                <w:spacing w:val="0"/>
                <w:sz w:val="24"/>
                <w:szCs w:val="24"/>
                <w:highlight w:val="none"/>
                <w:lang w:eastAsia="zh-CN"/>
              </w:rPr>
              <w:t>文档、</w:t>
            </w:r>
            <w:r>
              <w:rPr>
                <w:rFonts w:hint="eastAsia" w:ascii="宋体" w:hAnsi="宋体" w:eastAsia="宋体" w:cs="宋体"/>
                <w:i w:val="0"/>
                <w:iCs w:val="0"/>
                <w:caps w:val="0"/>
                <w:color w:val="auto"/>
                <w:spacing w:val="0"/>
                <w:sz w:val="24"/>
                <w:szCs w:val="24"/>
                <w:highlight w:val="none"/>
              </w:rPr>
              <w:t>实施及针对性措施</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保证培训成效的措施等）</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5分；（2）方案包含的要点齐全、内容与要点相符、每个要点均有展开阐述(没有特别具体)但基本能够实施的得4.8分；（3）方案包含的要点齐全、内容与要点相符但仅有纲要、内容简略,未展开详细阐述的得4.7分；（4）方案所包含的要点有缺漏、未提供或内容存在明显错误的不得分。</w:t>
            </w:r>
          </w:p>
        </w:tc>
      </w:tr>
      <w:tr w14:paraId="3CFB7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8" w:type="dxa"/>
            <w:noWrap w:val="0"/>
            <w:vAlign w:val="center"/>
          </w:tcPr>
          <w:p w14:paraId="20732E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i w:val="0"/>
                <w:iCs w:val="0"/>
                <w:caps w:val="0"/>
                <w:color w:val="auto"/>
                <w:spacing w:val="0"/>
                <w:kern w:val="0"/>
                <w:sz w:val="24"/>
                <w:szCs w:val="24"/>
                <w:highlight w:val="none"/>
                <w:lang w:val="en-US" w:eastAsia="zh-CN" w:bidi="ar"/>
              </w:rPr>
              <w:t>4</w:t>
            </w:r>
            <w:r>
              <w:rPr>
                <w:rFonts w:hint="eastAsia" w:ascii="宋体" w:hAnsi="宋体" w:eastAsia="宋体" w:cs="宋体"/>
                <w:i w:val="0"/>
                <w:iCs w:val="0"/>
                <w:caps w:val="0"/>
                <w:color w:val="auto"/>
                <w:spacing w:val="0"/>
                <w:kern w:val="0"/>
                <w:sz w:val="24"/>
                <w:szCs w:val="24"/>
                <w:highlight w:val="none"/>
                <w:lang w:val="en-US" w:eastAsia="zh-CN" w:bidi="ar"/>
              </w:rPr>
              <w:t>、售后服务方案</w:t>
            </w:r>
          </w:p>
        </w:tc>
        <w:tc>
          <w:tcPr>
            <w:tcW w:w="889" w:type="dxa"/>
            <w:noWrap w:val="0"/>
            <w:vAlign w:val="center"/>
          </w:tcPr>
          <w:p w14:paraId="4B51DB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5.00</w:t>
            </w:r>
          </w:p>
        </w:tc>
        <w:tc>
          <w:tcPr>
            <w:tcW w:w="7271" w:type="dxa"/>
            <w:noWrap w:val="0"/>
            <w:vAlign w:val="center"/>
          </w:tcPr>
          <w:p w14:paraId="651072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根据各投标人针对本项目提供的售后服务方案（包括维修服务内容、故障响应时间、响应方式、专业人员配备情况、售后服务人员资质及现有维修服务能力等）</w:t>
            </w:r>
            <w:r>
              <w:rPr>
                <w:rFonts w:hint="eastAsia" w:ascii="宋体" w:hAnsi="宋体" w:eastAsia="宋体" w:cs="宋体"/>
                <w:i w:val="0"/>
                <w:iCs w:val="0"/>
                <w:caps w:val="0"/>
                <w:color w:val="auto"/>
                <w:spacing w:val="0"/>
                <w:kern w:val="0"/>
                <w:sz w:val="24"/>
                <w:szCs w:val="24"/>
                <w:highlight w:val="none"/>
                <w:lang w:val="en-US" w:eastAsia="zh-CN" w:bidi="ar"/>
              </w:rPr>
              <w:t>，由评委进行评分：（1）方案包含的要点齐全无缺漏项、内容与要点相符、每个要点均有展开详细的阐述且能够有效实施的得5分；（2）方案包含的要点齐全、内容与要点相符、每个要点均有展开阐述(没有特别具体)但基本能够实施的得4.8分；（3）方案包含的要点齐全、内容与要点相符但仅有纲要、内容简略,未展开详细阐述的得4.7分；（4）方案所包含的要点有缺漏、未提供或内容存在明显错误的不得分。</w:t>
            </w:r>
          </w:p>
        </w:tc>
      </w:tr>
    </w:tbl>
    <w:p w14:paraId="02DB98B9">
      <w:pPr>
        <w:spacing w:line="360" w:lineRule="auto"/>
        <w:ind w:firstLine="241" w:firstLineChars="100"/>
        <w:rPr>
          <w:rFonts w:hint="eastAsia" w:ascii="宋体" w:hAnsi="宋体" w:eastAsia="宋体" w:cs="宋体"/>
          <w:b/>
          <w:bCs/>
          <w:color w:val="auto"/>
          <w:sz w:val="24"/>
          <w:szCs w:val="24"/>
          <w:highlight w:val="none"/>
        </w:rPr>
      </w:pPr>
    </w:p>
    <w:p w14:paraId="5F9AE16D">
      <w:pPr>
        <w:spacing w:line="360" w:lineRule="auto"/>
        <w:ind w:firstLine="241" w:firstLineChars="100"/>
        <w:rPr>
          <w:rFonts w:hint="eastAsia" w:ascii="宋体" w:hAnsi="宋体" w:eastAsia="宋体" w:cs="宋体"/>
          <w:b/>
          <w:bCs/>
          <w:color w:val="auto"/>
          <w:sz w:val="24"/>
          <w:szCs w:val="24"/>
          <w:highlight w:val="none"/>
        </w:rPr>
      </w:pPr>
    </w:p>
    <w:p w14:paraId="4B6DDB8F">
      <w:pPr>
        <w:spacing w:line="360" w:lineRule="auto"/>
        <w:ind w:firstLine="241" w:firstLineChars="100"/>
        <w:rPr>
          <w:rFonts w:hint="eastAsia" w:ascii="宋体" w:hAnsi="宋体" w:eastAsia="宋体" w:cs="宋体"/>
          <w:b/>
          <w:bCs/>
          <w:color w:val="auto"/>
          <w:sz w:val="24"/>
          <w:szCs w:val="24"/>
          <w:highlight w:val="none"/>
        </w:rPr>
      </w:pPr>
    </w:p>
    <w:p w14:paraId="012D2E1D">
      <w:pPr>
        <w:spacing w:line="360" w:lineRule="auto"/>
        <w:ind w:firstLine="241" w:firstLineChars="100"/>
        <w:rPr>
          <w:rFonts w:hint="eastAsia" w:ascii="宋体" w:hAnsi="宋体" w:eastAsia="宋体" w:cs="宋体"/>
          <w:b/>
          <w:bCs/>
          <w:color w:val="auto"/>
          <w:sz w:val="24"/>
          <w:szCs w:val="24"/>
          <w:highlight w:val="none"/>
        </w:rPr>
      </w:pPr>
    </w:p>
    <w:p w14:paraId="5B32E8C8">
      <w:pPr>
        <w:spacing w:line="360" w:lineRule="auto"/>
        <w:ind w:firstLine="241" w:firstLineChars="100"/>
        <w:rPr>
          <w:rFonts w:hint="eastAsia" w:ascii="宋体" w:hAnsi="宋体" w:eastAsia="宋体" w:cs="宋体"/>
          <w:b/>
          <w:bCs/>
          <w:color w:val="auto"/>
          <w:sz w:val="24"/>
          <w:szCs w:val="24"/>
          <w:highlight w:val="none"/>
        </w:rPr>
      </w:pPr>
    </w:p>
    <w:p w14:paraId="13DFC6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三、PF</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部分（</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4303C825">
      <w:pPr>
        <w:shd w:val="clear" w:color="auto" w:fill="auto"/>
        <w:snapToGrid w:val="0"/>
        <w:spacing w:line="360" w:lineRule="auto"/>
        <w:rPr>
          <w:rStyle w:val="44"/>
          <w:rFonts w:hint="eastAsia" w:ascii="宋体" w:hAnsi="宋体" w:eastAsia="宋体" w:cs="宋体"/>
          <w:color w:val="auto"/>
          <w:sz w:val="24"/>
          <w:szCs w:val="24"/>
          <w:highlight w:val="none"/>
        </w:rPr>
      </w:pPr>
    </w:p>
    <w:p w14:paraId="0BFCA8A6">
      <w:pPr>
        <w:pStyle w:val="7"/>
        <w:spacing w:line="360" w:lineRule="auto"/>
        <w:rPr>
          <w:rFonts w:hint="eastAsia"/>
          <w:color w:val="auto"/>
          <w:highlight w:val="none"/>
        </w:rPr>
      </w:pPr>
      <w:r>
        <w:rPr>
          <w:rFonts w:hint="eastAsia" w:ascii="宋体" w:hAnsi="宋体" w:cs="宋体"/>
          <w:color w:val="auto"/>
          <w:kern w:val="0"/>
          <w:sz w:val="24"/>
          <w:highlight w:val="none"/>
        </w:rPr>
        <w:t>价格分采用低价优先法计算，即满足招标文件要求且投标价格最低的投标报价为评标基准价，其价格分为满分。其他投标人的价格分统一按照下列公式计算：投标报价得分=（评标基准价／投标报价）×100×价格项评审因素所占的权重。</w:t>
      </w:r>
    </w:p>
    <w:p w14:paraId="3D6EC2A0">
      <w:pPr>
        <w:bidi w:val="0"/>
        <w:spacing w:line="360" w:lineRule="auto"/>
        <w:rPr>
          <w:rFonts w:hint="eastAsia"/>
          <w:color w:val="auto"/>
          <w:highlight w:val="none"/>
        </w:rPr>
      </w:pPr>
    </w:p>
    <w:p w14:paraId="0FA5E968">
      <w:pPr>
        <w:bidi w:val="0"/>
        <w:rPr>
          <w:rFonts w:hint="eastAsia"/>
          <w:color w:val="auto"/>
          <w:highlight w:val="none"/>
        </w:rPr>
      </w:pPr>
    </w:p>
    <w:p w14:paraId="0CA20819">
      <w:pPr>
        <w:bidi w:val="0"/>
        <w:rPr>
          <w:rFonts w:hint="eastAsia"/>
          <w:color w:val="auto"/>
          <w:highlight w:val="none"/>
        </w:rPr>
      </w:pPr>
    </w:p>
    <w:p w14:paraId="6E1344D3">
      <w:pPr>
        <w:bidi w:val="0"/>
        <w:rPr>
          <w:rFonts w:hint="eastAsia"/>
          <w:color w:val="auto"/>
          <w:highlight w:val="none"/>
        </w:rPr>
      </w:pPr>
    </w:p>
    <w:p w14:paraId="3AC7ECF7">
      <w:pPr>
        <w:bidi w:val="0"/>
        <w:rPr>
          <w:rFonts w:hint="eastAsia"/>
          <w:color w:val="auto"/>
          <w:highlight w:val="none"/>
        </w:rPr>
      </w:pPr>
    </w:p>
    <w:p w14:paraId="088E0739">
      <w:pPr>
        <w:shd w:val="clear" w:color="auto" w:fill="auto"/>
        <w:snapToGrid w:val="0"/>
        <w:spacing w:line="450" w:lineRule="exact"/>
        <w:ind w:firstLine="480" w:firstLineChars="200"/>
        <w:rPr>
          <w:rStyle w:val="44"/>
          <w:rFonts w:hint="eastAsia" w:ascii="宋体" w:hAnsi="宋体" w:eastAsia="宋体" w:cs="Times New Roman"/>
          <w:color w:val="auto"/>
          <w:sz w:val="24"/>
          <w:szCs w:val="24"/>
          <w:highlight w:val="none"/>
        </w:rPr>
      </w:pPr>
    </w:p>
    <w:p w14:paraId="4103A1B4">
      <w:pPr>
        <w:pStyle w:val="4"/>
        <w:shd w:val="clear" w:color="auto" w:fill="auto"/>
        <w:bidi w:val="0"/>
        <w:rPr>
          <w:color w:val="auto"/>
          <w:highlight w:val="none"/>
        </w:rPr>
      </w:pPr>
      <w:r>
        <w:rPr>
          <w:color w:val="auto"/>
          <w:highlight w:val="none"/>
        </w:rPr>
        <w:br w:type="page"/>
      </w:r>
      <w:bookmarkStart w:id="40" w:name="_Toc10198"/>
      <w:r>
        <w:rPr>
          <w:color w:val="auto"/>
          <w:highlight w:val="none"/>
        </w:rPr>
        <w:t>一</w:t>
      </w:r>
      <w:r>
        <w:rPr>
          <w:rFonts w:hint="eastAsia"/>
          <w:color w:val="auto"/>
          <w:highlight w:val="none"/>
          <w:lang w:eastAsia="zh-CN"/>
        </w:rPr>
        <w:t>、</w:t>
      </w:r>
      <w:r>
        <w:rPr>
          <w:color w:val="auto"/>
          <w:highlight w:val="none"/>
        </w:rPr>
        <w:t>说明</w:t>
      </w:r>
      <w:bookmarkEnd w:id="40"/>
    </w:p>
    <w:p w14:paraId="602AF15E">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1.适用范围</w:t>
      </w:r>
    </w:p>
    <w:p w14:paraId="6D86BC53">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1.1本招标文件仅适用于投标邀请中所叙述项目的</w:t>
      </w:r>
      <w:r>
        <w:rPr>
          <w:rFonts w:hint="eastAsia" w:ascii="宋体" w:hAnsi="宋体"/>
          <w:color w:val="auto"/>
          <w:sz w:val="24"/>
          <w:highlight w:val="none"/>
        </w:rPr>
        <w:t>货物及服务招标</w:t>
      </w:r>
      <w:r>
        <w:rPr>
          <w:rStyle w:val="44"/>
          <w:rFonts w:ascii="宋体" w:hAnsi="宋体"/>
          <w:color w:val="auto"/>
          <w:sz w:val="24"/>
          <w:szCs w:val="24"/>
          <w:highlight w:val="none"/>
        </w:rPr>
        <w:t>。</w:t>
      </w:r>
    </w:p>
    <w:p w14:paraId="1170D197">
      <w:pPr>
        <w:shd w:val="clear" w:color="auto" w:fill="auto"/>
        <w:snapToGrid w:val="0"/>
        <w:spacing w:line="400" w:lineRule="exact"/>
        <w:rPr>
          <w:rStyle w:val="44"/>
          <w:rFonts w:ascii="宋体" w:hAnsi="宋体"/>
          <w:color w:val="auto"/>
          <w:sz w:val="24"/>
          <w:szCs w:val="24"/>
          <w:highlight w:val="none"/>
        </w:rPr>
      </w:pPr>
      <w:r>
        <w:rPr>
          <w:rStyle w:val="44"/>
          <w:rFonts w:ascii="宋体" w:hAnsi="宋体"/>
          <w:color w:val="auto"/>
          <w:sz w:val="24"/>
          <w:szCs w:val="24"/>
          <w:highlight w:val="none"/>
        </w:rPr>
        <w:t>2.定义</w:t>
      </w:r>
    </w:p>
    <w:p w14:paraId="76D3FFB4">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2.1“招标人”系指本次招标项目的业主方。</w:t>
      </w:r>
    </w:p>
    <w:p w14:paraId="5F99FA1E">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2.2“招标单位”系指组织本次招标活动的招标人或招标代理机构。</w:t>
      </w:r>
    </w:p>
    <w:p w14:paraId="73C84A95">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2.3“招标代理机构”系指本次招标项目活动组织方。</w:t>
      </w:r>
    </w:p>
    <w:p w14:paraId="6D7A5B73">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2.4“投标人”系指</w:t>
      </w:r>
      <w:r>
        <w:rPr>
          <w:rStyle w:val="44"/>
          <w:rFonts w:hint="eastAsia" w:ascii="宋体" w:hAnsi="宋体"/>
          <w:color w:val="auto"/>
          <w:sz w:val="24"/>
          <w:szCs w:val="24"/>
          <w:highlight w:val="none"/>
          <w:lang w:eastAsia="zh-CN"/>
        </w:rPr>
        <w:t>获取</w:t>
      </w:r>
      <w:r>
        <w:rPr>
          <w:rStyle w:val="44"/>
          <w:rFonts w:ascii="宋体" w:hAnsi="宋体"/>
          <w:color w:val="auto"/>
          <w:sz w:val="24"/>
          <w:szCs w:val="24"/>
          <w:highlight w:val="none"/>
        </w:rPr>
        <w:t>了本招标文件，且已经提交或者准备提交本次投标文件的企业法人。</w:t>
      </w:r>
    </w:p>
    <w:p w14:paraId="6BB205B6">
      <w:pPr>
        <w:shd w:val="clear" w:color="auto" w:fill="auto"/>
        <w:spacing w:line="520" w:lineRule="exact"/>
        <w:ind w:firstLine="480" w:firstLineChars="200"/>
        <w:rPr>
          <w:rFonts w:ascii="宋体" w:hAnsi="宋体"/>
          <w:color w:val="auto"/>
          <w:sz w:val="24"/>
          <w:highlight w:val="none"/>
        </w:rPr>
      </w:pPr>
      <w:r>
        <w:rPr>
          <w:rFonts w:hint="eastAsia" w:ascii="宋体" w:hAnsi="宋体"/>
          <w:color w:val="auto"/>
          <w:sz w:val="24"/>
          <w:highlight w:val="none"/>
        </w:rPr>
        <w:t>2.5 “货物”系指卖方按招标文件规定向买方提供的一切货物、备品备件、工具、手册及其它有关技术资料和材料。</w:t>
      </w:r>
    </w:p>
    <w:p w14:paraId="31A140AC">
      <w:pPr>
        <w:shd w:val="clear" w:color="auto" w:fill="auto"/>
        <w:snapToGrid w:val="0"/>
        <w:spacing w:line="450" w:lineRule="exact"/>
        <w:ind w:firstLine="480" w:firstLineChars="200"/>
        <w:rPr>
          <w:rStyle w:val="44"/>
          <w:rFonts w:ascii="宋体" w:hAnsi="宋体"/>
          <w:color w:val="auto"/>
          <w:sz w:val="24"/>
          <w:szCs w:val="24"/>
          <w:highlight w:val="none"/>
        </w:rPr>
      </w:pPr>
      <w:r>
        <w:rPr>
          <w:rFonts w:hint="eastAsia" w:ascii="宋体" w:hAnsi="宋体"/>
          <w:color w:val="auto"/>
          <w:sz w:val="24"/>
          <w:highlight w:val="none"/>
        </w:rPr>
        <w:t>2.6“服务”系指招标文件规定卖方须承担的安装、调试、技术协助、校准、培训以及其他类似的义务。</w:t>
      </w:r>
    </w:p>
    <w:p w14:paraId="5D5AA115">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3.合格的投标人：</w:t>
      </w:r>
    </w:p>
    <w:p w14:paraId="41394DA3">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3.1详见投标人须知前附表中资格标准。</w:t>
      </w:r>
    </w:p>
    <w:p w14:paraId="12A4802F">
      <w:pPr>
        <w:shd w:val="clear" w:color="auto" w:fill="auto"/>
        <w:snapToGrid w:val="0"/>
        <w:spacing w:line="4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w:t>
      </w:r>
      <w:r>
        <w:rPr>
          <w:rStyle w:val="44"/>
          <w:rFonts w:hint="eastAsia" w:ascii="宋体" w:hAnsi="宋体"/>
          <w:color w:val="auto"/>
          <w:sz w:val="24"/>
          <w:szCs w:val="24"/>
          <w:highlight w:val="none"/>
          <w:lang w:val="en-US" w:eastAsia="zh-CN"/>
        </w:rPr>
        <w:t>2</w:t>
      </w:r>
      <w:r>
        <w:rPr>
          <w:rStyle w:val="44"/>
          <w:rFonts w:ascii="宋体" w:hAnsi="宋体"/>
          <w:color w:val="auto"/>
          <w:sz w:val="24"/>
          <w:szCs w:val="24"/>
          <w:highlight w:val="none"/>
        </w:rPr>
        <w:t>投标人应遵守中国的有关法律、法规和规章的规定。</w:t>
      </w:r>
    </w:p>
    <w:p w14:paraId="3A20C5FC">
      <w:pPr>
        <w:shd w:val="clear" w:color="auto" w:fill="auto"/>
        <w:snapToGrid w:val="0"/>
        <w:spacing w:line="400" w:lineRule="exact"/>
        <w:ind w:firstLine="480" w:firstLineChars="200"/>
        <w:rPr>
          <w:rStyle w:val="44"/>
          <w:rFonts w:hint="default"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3.3投标人生产、经销招标文件所述的货物或服务的资格必须得到有关行政部门的许可。</w:t>
      </w:r>
    </w:p>
    <w:p w14:paraId="63610754">
      <w:pPr>
        <w:shd w:val="clear" w:color="auto" w:fill="auto"/>
        <w:snapToGrid w:val="0"/>
        <w:spacing w:line="400" w:lineRule="exact"/>
        <w:ind w:firstLine="480" w:firstLineChars="200"/>
        <w:rPr>
          <w:rStyle w:val="44"/>
          <w:rFonts w:ascii="宋体" w:hAnsi="宋体"/>
          <w:b/>
          <w:color w:val="auto"/>
          <w:sz w:val="24"/>
          <w:szCs w:val="24"/>
          <w:highlight w:val="none"/>
        </w:rPr>
      </w:pPr>
      <w:r>
        <w:rPr>
          <w:rStyle w:val="44"/>
          <w:rFonts w:ascii="宋体" w:hAnsi="宋体"/>
          <w:color w:val="auto"/>
          <w:sz w:val="24"/>
          <w:szCs w:val="24"/>
          <w:highlight w:val="none"/>
        </w:rPr>
        <w:t>3.</w:t>
      </w:r>
      <w:r>
        <w:rPr>
          <w:rStyle w:val="44"/>
          <w:rFonts w:hint="eastAsia" w:ascii="宋体" w:hAnsi="宋体"/>
          <w:color w:val="auto"/>
          <w:sz w:val="24"/>
          <w:szCs w:val="24"/>
          <w:highlight w:val="none"/>
          <w:lang w:val="en-US" w:eastAsia="zh-CN"/>
        </w:rPr>
        <w:t>4</w:t>
      </w:r>
      <w:r>
        <w:rPr>
          <w:rStyle w:val="44"/>
          <w:rFonts w:ascii="宋体" w:hAnsi="宋体"/>
          <w:color w:val="auto"/>
          <w:sz w:val="24"/>
          <w:szCs w:val="24"/>
          <w:highlight w:val="none"/>
        </w:rPr>
        <w:t>单位负责人为同一人或者存在直接控股、管理关系的不同投标人，不得同时参加本项目投标。</w:t>
      </w:r>
    </w:p>
    <w:p w14:paraId="1A7C364A">
      <w:pPr>
        <w:pStyle w:val="76"/>
        <w:shd w:val="clear" w:color="auto" w:fill="auto"/>
        <w:snapToGrid w:val="0"/>
        <w:spacing w:line="360" w:lineRule="auto"/>
        <w:ind w:firstLine="480"/>
        <w:rPr>
          <w:rStyle w:val="44"/>
          <w:rFonts w:ascii="宋体" w:hAnsi="宋体" w:eastAsia="宋体"/>
          <w:color w:val="auto"/>
          <w:kern w:val="2"/>
          <w:sz w:val="24"/>
          <w:szCs w:val="24"/>
          <w:highlight w:val="none"/>
        </w:rPr>
      </w:pPr>
      <w:r>
        <w:rPr>
          <w:rStyle w:val="44"/>
          <w:rFonts w:hint="eastAsia" w:ascii="宋体" w:hAnsi="宋体" w:eastAsia="宋体"/>
          <w:color w:val="auto"/>
          <w:kern w:val="2"/>
          <w:sz w:val="24"/>
          <w:szCs w:val="24"/>
          <w:highlight w:val="none"/>
          <w:lang w:val="en-US" w:eastAsia="zh-CN"/>
        </w:rPr>
        <w:t>3.5</w:t>
      </w:r>
      <w:r>
        <w:rPr>
          <w:rStyle w:val="44"/>
          <w:rFonts w:hint="eastAsia" w:ascii="宋体" w:hAnsi="宋体" w:eastAsia="宋体"/>
          <w:color w:val="auto"/>
          <w:kern w:val="2"/>
          <w:sz w:val="24"/>
          <w:szCs w:val="24"/>
          <w:highlight w:val="none"/>
        </w:rPr>
        <w:t>与招标人存在利害关系可能影响招标公正性的法人、其他组织或者个人，不得参加投标。</w:t>
      </w:r>
    </w:p>
    <w:p w14:paraId="5806969C">
      <w:pPr>
        <w:pStyle w:val="76"/>
        <w:shd w:val="clear" w:color="auto" w:fill="auto"/>
        <w:snapToGrid w:val="0"/>
        <w:spacing w:line="360" w:lineRule="auto"/>
        <w:ind w:firstLine="480"/>
        <w:rPr>
          <w:rStyle w:val="44"/>
          <w:rFonts w:ascii="宋体" w:hAnsi="宋体" w:eastAsia="宋体"/>
          <w:color w:val="auto"/>
          <w:kern w:val="2"/>
          <w:sz w:val="24"/>
          <w:szCs w:val="24"/>
          <w:highlight w:val="none"/>
        </w:rPr>
      </w:pPr>
      <w:r>
        <w:rPr>
          <w:rStyle w:val="44"/>
          <w:rFonts w:ascii="宋体" w:hAnsi="宋体" w:eastAsia="宋体"/>
          <w:color w:val="auto"/>
          <w:kern w:val="2"/>
          <w:sz w:val="24"/>
          <w:szCs w:val="24"/>
          <w:highlight w:val="none"/>
        </w:rPr>
        <w:t>3.</w:t>
      </w:r>
      <w:r>
        <w:rPr>
          <w:rStyle w:val="44"/>
          <w:rFonts w:hint="eastAsia" w:ascii="宋体" w:hAnsi="宋体" w:eastAsia="宋体"/>
          <w:color w:val="auto"/>
          <w:kern w:val="2"/>
          <w:sz w:val="24"/>
          <w:szCs w:val="24"/>
          <w:highlight w:val="none"/>
          <w:lang w:val="en-US" w:eastAsia="zh-CN"/>
        </w:rPr>
        <w:t>6</w:t>
      </w:r>
      <w:r>
        <w:rPr>
          <w:rStyle w:val="44"/>
          <w:rFonts w:ascii="宋体" w:hAnsi="宋体" w:eastAsia="宋体"/>
          <w:color w:val="auto"/>
          <w:kern w:val="2"/>
          <w:sz w:val="24"/>
          <w:szCs w:val="24"/>
          <w:highlight w:val="none"/>
        </w:rPr>
        <w:t>投标人不得与本次招标项下设计、编制技术规格和其它文件的公司或提供咨询服务的公司包括其附属机构有任何利益关联。</w:t>
      </w:r>
    </w:p>
    <w:p w14:paraId="6A44E77A">
      <w:pPr>
        <w:pStyle w:val="76"/>
        <w:shd w:val="clear" w:color="auto" w:fill="auto"/>
        <w:snapToGrid w:val="0"/>
        <w:spacing w:line="360" w:lineRule="auto"/>
        <w:ind w:firstLine="480"/>
        <w:rPr>
          <w:rStyle w:val="44"/>
          <w:rFonts w:ascii="宋体" w:hAnsi="宋体" w:eastAsia="宋体"/>
          <w:color w:val="auto"/>
          <w:kern w:val="2"/>
          <w:sz w:val="24"/>
          <w:szCs w:val="24"/>
          <w:highlight w:val="none"/>
        </w:rPr>
      </w:pPr>
      <w:r>
        <w:rPr>
          <w:rStyle w:val="44"/>
          <w:rFonts w:ascii="宋体" w:hAnsi="宋体" w:eastAsia="宋体"/>
          <w:color w:val="auto"/>
          <w:kern w:val="2"/>
          <w:sz w:val="24"/>
          <w:szCs w:val="24"/>
          <w:highlight w:val="none"/>
        </w:rPr>
        <w:t>3.</w:t>
      </w:r>
      <w:r>
        <w:rPr>
          <w:rStyle w:val="44"/>
          <w:rFonts w:hint="eastAsia" w:ascii="宋体" w:hAnsi="宋体" w:eastAsia="宋体"/>
          <w:color w:val="auto"/>
          <w:kern w:val="2"/>
          <w:sz w:val="24"/>
          <w:szCs w:val="24"/>
          <w:highlight w:val="none"/>
          <w:lang w:val="en-US" w:eastAsia="zh-CN"/>
        </w:rPr>
        <w:t>7</w:t>
      </w:r>
      <w:r>
        <w:rPr>
          <w:rStyle w:val="44"/>
          <w:rFonts w:ascii="宋体" w:hAnsi="宋体" w:eastAsia="宋体"/>
          <w:color w:val="auto"/>
          <w:kern w:val="2"/>
          <w:sz w:val="24"/>
          <w:szCs w:val="24"/>
          <w:highlight w:val="none"/>
        </w:rPr>
        <w:t>投标代表人在同一个项目中只能接受一个投标人的委托参加投标。（提供法定代表人授权书原件及法定代表人及被授权人身份证复印件（正、反面），格式详见第五章“投标文件格式”中附件，投标代表是法定代表人无需授权书）。</w:t>
      </w:r>
    </w:p>
    <w:p w14:paraId="2256F594">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4.投标费用</w:t>
      </w:r>
    </w:p>
    <w:p w14:paraId="407FD9B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4.1 投标人自行承担其参加投标所涉及的一切费用。</w:t>
      </w:r>
    </w:p>
    <w:p w14:paraId="47CFE4B9">
      <w:pPr>
        <w:shd w:val="clear" w:color="auto" w:fill="auto"/>
        <w:snapToGrid w:val="0"/>
        <w:spacing w:line="450" w:lineRule="exact"/>
        <w:rPr>
          <w:rStyle w:val="44"/>
          <w:rFonts w:ascii="宋体" w:hAnsi="宋体"/>
          <w:color w:val="auto"/>
          <w:sz w:val="24"/>
          <w:szCs w:val="24"/>
          <w:highlight w:val="none"/>
        </w:rPr>
      </w:pPr>
    </w:p>
    <w:p w14:paraId="6D8D995F">
      <w:pPr>
        <w:pStyle w:val="4"/>
        <w:shd w:val="clear" w:color="auto" w:fill="auto"/>
        <w:bidi w:val="0"/>
        <w:rPr>
          <w:color w:val="auto"/>
          <w:highlight w:val="none"/>
        </w:rPr>
      </w:pPr>
      <w:bookmarkStart w:id="41" w:name="_Toc32021"/>
      <w:r>
        <w:rPr>
          <w:color w:val="auto"/>
          <w:highlight w:val="none"/>
        </w:rPr>
        <w:t>二、招标文件</w:t>
      </w:r>
      <w:bookmarkEnd w:id="41"/>
    </w:p>
    <w:p w14:paraId="3287FE1C">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5.招标文件的组成</w:t>
      </w:r>
    </w:p>
    <w:p w14:paraId="2B50E31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5.1招标文件用以阐明所需服务招标程序和合同主要条款。招标文件由下述部分组成：</w:t>
      </w:r>
    </w:p>
    <w:p w14:paraId="7BD5CCD6">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1</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投标邀请</w:t>
      </w:r>
    </w:p>
    <w:p w14:paraId="345033CD">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2</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 xml:space="preserve">投标人须知 </w:t>
      </w:r>
    </w:p>
    <w:p w14:paraId="65843E06">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3</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招标内容及要求</w:t>
      </w:r>
    </w:p>
    <w:p w14:paraId="1E9ED469">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4</w:t>
      </w:r>
      <w:r>
        <w:rPr>
          <w:rStyle w:val="44"/>
          <w:rFonts w:hint="eastAsia" w:ascii="宋体" w:hAnsi="宋体"/>
          <w:color w:val="auto"/>
          <w:sz w:val="24"/>
          <w:szCs w:val="24"/>
          <w:highlight w:val="none"/>
          <w:lang w:eastAsia="zh-CN"/>
        </w:rPr>
        <w:t>）</w:t>
      </w:r>
      <w:r>
        <w:rPr>
          <w:rStyle w:val="44"/>
          <w:rFonts w:hint="eastAsia" w:ascii="宋体" w:hAnsi="宋体"/>
          <w:color w:val="auto"/>
          <w:sz w:val="24"/>
          <w:szCs w:val="24"/>
          <w:highlight w:val="none"/>
        </w:rPr>
        <w:t>合同主要条款</w:t>
      </w:r>
    </w:p>
    <w:p w14:paraId="74C8257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5</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投标文件格式</w:t>
      </w:r>
    </w:p>
    <w:p w14:paraId="6B06B9A4">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6.招标文件的澄清</w:t>
      </w:r>
    </w:p>
    <w:p w14:paraId="5FE43DFC">
      <w:pPr>
        <w:shd w:val="clear" w:color="auto" w:fill="auto"/>
        <w:snapToGrid w:val="0"/>
        <w:spacing w:line="460" w:lineRule="exact"/>
        <w:ind w:firstLine="410" w:firstLineChars="171"/>
        <w:rPr>
          <w:rStyle w:val="44"/>
          <w:rFonts w:ascii="宋体" w:hAnsi="宋体"/>
          <w:b/>
          <w:color w:val="auto"/>
          <w:sz w:val="24"/>
          <w:szCs w:val="24"/>
          <w:highlight w:val="none"/>
        </w:rPr>
      </w:pPr>
      <w:r>
        <w:rPr>
          <w:rStyle w:val="44"/>
          <w:rFonts w:ascii="宋体" w:hAnsi="宋体" w:cs="宋体"/>
          <w:bCs/>
          <w:color w:val="auto"/>
          <w:sz w:val="24"/>
          <w:szCs w:val="24"/>
          <w:highlight w:val="none"/>
        </w:rPr>
        <w:t>6.1投标人对招标文件如有疑点，可要求澄清。要求澄清应按投标邀请中载明的地址以书面形式（包括信函、电报或传真，下同）通知</w:t>
      </w:r>
      <w:r>
        <w:rPr>
          <w:rStyle w:val="44"/>
          <w:rFonts w:ascii="宋体" w:hAnsi="宋体"/>
          <w:color w:val="auto"/>
          <w:sz w:val="24"/>
          <w:szCs w:val="24"/>
          <w:highlight w:val="none"/>
        </w:rPr>
        <w:t>招标代理机构</w:t>
      </w:r>
      <w:r>
        <w:rPr>
          <w:rStyle w:val="44"/>
          <w:rFonts w:ascii="宋体" w:hAnsi="宋体" w:cs="宋体"/>
          <w:bCs/>
          <w:color w:val="auto"/>
          <w:sz w:val="24"/>
          <w:szCs w:val="24"/>
          <w:highlight w:val="none"/>
        </w:rPr>
        <w:t>。</w:t>
      </w:r>
      <w:r>
        <w:rPr>
          <w:rStyle w:val="44"/>
          <w:rFonts w:ascii="宋体" w:hAnsi="宋体"/>
          <w:color w:val="auto"/>
          <w:sz w:val="24"/>
          <w:szCs w:val="24"/>
          <w:highlight w:val="none"/>
        </w:rPr>
        <w:t>招标代理机构</w:t>
      </w:r>
      <w:r>
        <w:rPr>
          <w:rStyle w:val="44"/>
          <w:rFonts w:ascii="宋体" w:hAnsi="宋体" w:cs="宋体"/>
          <w:bCs/>
          <w:color w:val="auto"/>
          <w:sz w:val="24"/>
          <w:szCs w:val="24"/>
          <w:highlight w:val="none"/>
        </w:rPr>
        <w:t>将视情况在投标截止时间15个日历日（如至原定截止时间不足15个日历日，则需延长开标时间）前将不标明查询来源的书面答复发给所有投标人，并</w:t>
      </w:r>
      <w:r>
        <w:rPr>
          <w:rStyle w:val="44"/>
          <w:rFonts w:ascii="宋体" w:hAnsi="宋体"/>
          <w:color w:val="auto"/>
          <w:sz w:val="24"/>
          <w:szCs w:val="24"/>
          <w:highlight w:val="none"/>
        </w:rPr>
        <w:t>在招标信息发布的媒体上发布更正公告</w:t>
      </w:r>
      <w:r>
        <w:rPr>
          <w:rStyle w:val="44"/>
          <w:rFonts w:ascii="宋体" w:hAnsi="宋体" w:cs="宋体"/>
          <w:bCs/>
          <w:color w:val="auto"/>
          <w:sz w:val="24"/>
          <w:szCs w:val="24"/>
          <w:highlight w:val="none"/>
        </w:rPr>
        <w:t>。</w:t>
      </w:r>
      <w:r>
        <w:rPr>
          <w:rStyle w:val="44"/>
          <w:rFonts w:ascii="宋体" w:hAnsi="宋体"/>
          <w:color w:val="auto"/>
          <w:sz w:val="24"/>
          <w:szCs w:val="24"/>
          <w:highlight w:val="none"/>
        </w:rPr>
        <w:t>该澄清内容为招标文件的组成部分。</w:t>
      </w:r>
    </w:p>
    <w:p w14:paraId="13F49CFC">
      <w:pPr>
        <w:shd w:val="clear" w:color="auto" w:fill="auto"/>
        <w:snapToGrid w:val="0"/>
        <w:spacing w:line="450" w:lineRule="exact"/>
        <w:ind w:firstLine="412" w:firstLineChars="171"/>
        <w:rPr>
          <w:rStyle w:val="44"/>
          <w:rFonts w:ascii="宋体" w:hAnsi="宋体"/>
          <w:b/>
          <w:color w:val="auto"/>
          <w:sz w:val="24"/>
          <w:szCs w:val="24"/>
          <w:highlight w:val="none"/>
        </w:rPr>
      </w:pPr>
      <w:r>
        <w:rPr>
          <w:rStyle w:val="44"/>
          <w:rFonts w:ascii="宋体" w:hAnsi="宋体"/>
          <w:b/>
          <w:color w:val="auto"/>
          <w:sz w:val="24"/>
          <w:szCs w:val="24"/>
          <w:highlight w:val="none"/>
        </w:rPr>
        <w:t>6.2投标人对招标文件提出质疑,应以书面形式原件（拒绝传真、电邮、电话形式等</w:t>
      </w:r>
      <w:r>
        <w:rPr>
          <w:rStyle w:val="44"/>
          <w:rFonts w:hint="eastAsia" w:ascii="宋体" w:hAnsi="宋体"/>
          <w:b/>
          <w:color w:val="auto"/>
          <w:sz w:val="24"/>
          <w:szCs w:val="24"/>
          <w:highlight w:val="none"/>
          <w:lang w:eastAsia="zh-CN"/>
        </w:rPr>
        <w:t>其他形式</w:t>
      </w:r>
      <w:r>
        <w:rPr>
          <w:rStyle w:val="44"/>
          <w:rFonts w:ascii="宋体" w:hAnsi="宋体"/>
          <w:b/>
          <w:color w:val="auto"/>
          <w:sz w:val="24"/>
          <w:szCs w:val="24"/>
          <w:highlight w:val="none"/>
        </w:rPr>
        <w:t>送达招标代理有限公司，否则不予受理）并携带三证合一的营业执照副本复印件并加盖投标人公章（原件必须现场核查，若无法提供原件或与原件不符，视为虚假质疑）送达</w:t>
      </w:r>
      <w:r>
        <w:rPr>
          <w:rStyle w:val="44"/>
          <w:rFonts w:hint="eastAsia" w:ascii="宋体" w:hAnsi="宋体"/>
          <w:b/>
          <w:color w:val="auto"/>
          <w:sz w:val="24"/>
          <w:szCs w:val="24"/>
          <w:highlight w:val="none"/>
        </w:rPr>
        <w:t>福建方兴</w:t>
      </w:r>
      <w:r>
        <w:rPr>
          <w:rStyle w:val="44"/>
          <w:rFonts w:ascii="宋体" w:hAnsi="宋体"/>
          <w:b/>
          <w:color w:val="auto"/>
          <w:sz w:val="24"/>
          <w:szCs w:val="24"/>
          <w:highlight w:val="none"/>
        </w:rPr>
        <w:t>招标代理有限公司。</w:t>
      </w:r>
    </w:p>
    <w:p w14:paraId="4F1393B0">
      <w:pPr>
        <w:shd w:val="clear" w:color="auto" w:fill="auto"/>
        <w:snapToGrid w:val="0"/>
        <w:spacing w:line="450" w:lineRule="exact"/>
        <w:rPr>
          <w:rStyle w:val="44"/>
          <w:rFonts w:ascii="宋体" w:hAnsi="宋体" w:cs="宋体"/>
          <w:bCs/>
          <w:color w:val="auto"/>
          <w:sz w:val="24"/>
          <w:szCs w:val="24"/>
          <w:highlight w:val="none"/>
        </w:rPr>
      </w:pPr>
      <w:r>
        <w:rPr>
          <w:rStyle w:val="44"/>
          <w:rFonts w:ascii="宋体" w:hAnsi="宋体" w:cs="宋体"/>
          <w:bCs/>
          <w:color w:val="auto"/>
          <w:sz w:val="24"/>
          <w:szCs w:val="24"/>
          <w:highlight w:val="none"/>
        </w:rPr>
        <w:t>7.招标文件的修改</w:t>
      </w:r>
    </w:p>
    <w:p w14:paraId="1030CB2E">
      <w:pPr>
        <w:shd w:val="clear" w:color="auto" w:fill="auto"/>
        <w:snapToGrid w:val="0"/>
        <w:spacing w:line="450" w:lineRule="exact"/>
        <w:ind w:firstLine="480" w:firstLineChars="200"/>
        <w:rPr>
          <w:rStyle w:val="44"/>
          <w:rFonts w:ascii="宋体" w:hAnsi="宋体" w:cs="宋体"/>
          <w:bCs/>
          <w:color w:val="auto"/>
          <w:sz w:val="24"/>
          <w:szCs w:val="24"/>
          <w:highlight w:val="none"/>
        </w:rPr>
      </w:pPr>
      <w:r>
        <w:rPr>
          <w:rStyle w:val="44"/>
          <w:rFonts w:ascii="宋体" w:hAnsi="宋体" w:cs="宋体"/>
          <w:bCs/>
          <w:color w:val="auto"/>
          <w:sz w:val="24"/>
          <w:szCs w:val="24"/>
          <w:highlight w:val="none"/>
        </w:rPr>
        <w:t>7.1至投标截止日期前15日（如至原定截止时间不足15个日历日，则需延长开标时间），</w:t>
      </w:r>
      <w:r>
        <w:rPr>
          <w:rStyle w:val="44"/>
          <w:rFonts w:ascii="宋体" w:hAnsi="宋体"/>
          <w:color w:val="auto"/>
          <w:sz w:val="24"/>
          <w:szCs w:val="24"/>
          <w:highlight w:val="none"/>
        </w:rPr>
        <w:t>招标代理机构</w:t>
      </w:r>
      <w:r>
        <w:rPr>
          <w:rStyle w:val="44"/>
          <w:rFonts w:ascii="宋体" w:hAnsi="宋体" w:cs="宋体"/>
          <w:bCs/>
          <w:color w:val="auto"/>
          <w:sz w:val="24"/>
          <w:szCs w:val="24"/>
          <w:highlight w:val="none"/>
        </w:rPr>
        <w:t>可主动或依投标人要求澄清的问题而修改招标文件，应</w:t>
      </w:r>
      <w:r>
        <w:rPr>
          <w:rStyle w:val="44"/>
          <w:rFonts w:ascii="宋体" w:hAnsi="宋体"/>
          <w:color w:val="auto"/>
          <w:sz w:val="24"/>
          <w:szCs w:val="24"/>
          <w:highlight w:val="none"/>
        </w:rPr>
        <w:t>在原信息发布的媒体上发布更正公告，</w:t>
      </w:r>
      <w:r>
        <w:rPr>
          <w:rStyle w:val="44"/>
          <w:rFonts w:ascii="宋体" w:hAnsi="宋体" w:cs="宋体"/>
          <w:bCs/>
          <w:color w:val="auto"/>
          <w:sz w:val="24"/>
          <w:szCs w:val="24"/>
          <w:highlight w:val="none"/>
        </w:rPr>
        <w:t>并以书面形式通知所有投标人，投标人在收到该通知后应立即以电报或传真的形式予以确认。</w:t>
      </w:r>
      <w:r>
        <w:rPr>
          <w:rStyle w:val="44"/>
          <w:rFonts w:ascii="宋体" w:hAnsi="宋体"/>
          <w:color w:val="auto"/>
          <w:sz w:val="24"/>
          <w:szCs w:val="24"/>
          <w:highlight w:val="none"/>
        </w:rPr>
        <w:t>该修改内容为招标文件的组成部分，对投标人具有约束力。但</w:t>
      </w:r>
      <w:r>
        <w:rPr>
          <w:rStyle w:val="44"/>
          <w:rFonts w:ascii="宋体" w:hAnsi="宋体" w:cs="宋体"/>
          <w:bCs/>
          <w:color w:val="auto"/>
          <w:sz w:val="24"/>
          <w:szCs w:val="24"/>
          <w:highlight w:val="none"/>
        </w:rPr>
        <w:t>本招标文件第7.2条规定的推迟投标截止时间和开标时间情形不受本条约束。</w:t>
      </w:r>
    </w:p>
    <w:p w14:paraId="01722D80">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7.2为使投标人在准备投标文件时有合理的时间考虑招标文件的修改，招标</w:t>
      </w:r>
      <w:r>
        <w:rPr>
          <w:rStyle w:val="44"/>
          <w:rFonts w:ascii="宋体" w:hAnsi="宋体" w:cs="宋体"/>
          <w:bCs/>
          <w:color w:val="auto"/>
          <w:sz w:val="24"/>
          <w:szCs w:val="24"/>
          <w:highlight w:val="none"/>
        </w:rPr>
        <w:t>代理机构可酌情推迟投标截止时间和开标时间，但应当至少在投标截止时间三个日历日前将变更时间以书面形式通知所有</w:t>
      </w:r>
      <w:r>
        <w:rPr>
          <w:rStyle w:val="44"/>
          <w:rFonts w:ascii="宋体" w:hAnsi="宋体"/>
          <w:color w:val="auto"/>
          <w:sz w:val="24"/>
          <w:szCs w:val="24"/>
          <w:highlight w:val="none"/>
        </w:rPr>
        <w:t>投标人，并在招标信息发布的媒体上发布更正公告。该修改内容为招标文件的组成部分。在此情况下，招标人和投标人受投标截止期制约的所有权利和义务均应延长至新的截止日期。</w:t>
      </w:r>
    </w:p>
    <w:p w14:paraId="2D77264E">
      <w:pPr>
        <w:pStyle w:val="4"/>
        <w:shd w:val="clear" w:color="auto" w:fill="auto"/>
        <w:bidi w:val="0"/>
        <w:rPr>
          <w:color w:val="auto"/>
          <w:highlight w:val="none"/>
        </w:rPr>
      </w:pPr>
      <w:bookmarkStart w:id="42" w:name="_Toc30706"/>
      <w:r>
        <w:rPr>
          <w:color w:val="auto"/>
          <w:highlight w:val="none"/>
        </w:rPr>
        <w:t>三</w:t>
      </w:r>
      <w:r>
        <w:rPr>
          <w:rFonts w:hint="eastAsia"/>
          <w:color w:val="auto"/>
          <w:highlight w:val="none"/>
          <w:lang w:eastAsia="zh-CN"/>
        </w:rPr>
        <w:t>、</w:t>
      </w:r>
      <w:r>
        <w:rPr>
          <w:color w:val="auto"/>
          <w:highlight w:val="none"/>
        </w:rPr>
        <w:t>投标文件的编写</w:t>
      </w:r>
      <w:bookmarkEnd w:id="42"/>
    </w:p>
    <w:p w14:paraId="436CDE8B">
      <w:pPr>
        <w:shd w:val="clear" w:color="auto" w:fill="auto"/>
        <w:snapToGrid w:val="0"/>
        <w:spacing w:line="450" w:lineRule="exact"/>
        <w:rPr>
          <w:rStyle w:val="44"/>
          <w:rFonts w:ascii="宋体" w:hAnsi="宋体"/>
          <w:color w:val="auto"/>
          <w:sz w:val="24"/>
          <w:szCs w:val="24"/>
          <w:highlight w:val="none"/>
        </w:rPr>
      </w:pPr>
    </w:p>
    <w:p w14:paraId="650A3EAF">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8.要求</w:t>
      </w:r>
    </w:p>
    <w:p w14:paraId="1B383040">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8.1投标人应仔细阅读招标文件的所有内容，按照招标文件的要求提交投标文件。投标文件应对招标文件的要求作出实质性响应，并保证所提供的全部资料的真实性，否则视其为虚假投标，否则其投标将被拒绝。</w:t>
      </w:r>
    </w:p>
    <w:p w14:paraId="123C5214">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8.2 除非有另外的规定，投标人可对招标内容一览表所列的全部合同包或部分合同包进行投标。招标代理机构不接受有任何可选择性的报价，每一种</w:t>
      </w:r>
      <w:r>
        <w:rPr>
          <w:rStyle w:val="44"/>
          <w:rFonts w:hint="eastAsia" w:ascii="宋体" w:hAnsi="宋体"/>
          <w:color w:val="auto"/>
          <w:sz w:val="24"/>
          <w:szCs w:val="24"/>
          <w:highlight w:val="none"/>
          <w:lang w:eastAsia="zh-CN"/>
        </w:rPr>
        <w:t>货物</w:t>
      </w:r>
      <w:r>
        <w:rPr>
          <w:rStyle w:val="44"/>
          <w:rFonts w:ascii="宋体" w:hAnsi="宋体"/>
          <w:color w:val="auto"/>
          <w:sz w:val="24"/>
          <w:szCs w:val="24"/>
          <w:highlight w:val="none"/>
        </w:rPr>
        <w:t>只能有一个报价。</w:t>
      </w:r>
    </w:p>
    <w:p w14:paraId="1F21D51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9.投标文件语言</w:t>
      </w:r>
    </w:p>
    <w:p w14:paraId="206ADC4A">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9.1投标文件应用中文书写。投标文件中所附或所引用的原件不是中文时，应附中文译本。各种计量单位及符号应采用国际上统一使用的公制计量单位和符号。</w:t>
      </w:r>
    </w:p>
    <w:p w14:paraId="4D5C1D9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9.2</w:t>
      </w:r>
      <w:r>
        <w:rPr>
          <w:rStyle w:val="44"/>
          <w:rFonts w:ascii="宋体" w:hAnsi="宋体" w:cs="宋体"/>
          <w:b/>
          <w:bCs/>
          <w:color w:val="auto"/>
          <w:kern w:val="0"/>
          <w:sz w:val="24"/>
          <w:szCs w:val="24"/>
          <w:highlight w:val="none"/>
        </w:rPr>
        <w:t>招标文件中载明的资格或技术商务要求中涉及的投标人提供的证明文件原件属于非中文描述的，必须要求提供具有翻译资质的机构翻译的中文译本。未按招标文件要求提供中文译本的，认定为该项资格或技术商务要求不符合。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14:paraId="1AC5122F">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10.投标文件的组成</w:t>
      </w:r>
    </w:p>
    <w:p w14:paraId="50181E5C">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10.1投标文件应包括下列部分及投标人根据招标项目的特点提供的其他文件</w:t>
      </w:r>
    </w:p>
    <w:p w14:paraId="4C1ECBB1">
      <w:pPr>
        <w:shd w:val="clear" w:color="auto" w:fill="auto"/>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10.1.1、</w:t>
      </w:r>
      <w:r>
        <w:rPr>
          <w:rFonts w:hint="eastAsia" w:ascii="宋体" w:hAnsi="宋体" w:eastAsia="宋体" w:cs="宋体"/>
          <w:b/>
          <w:bCs/>
          <w:color w:val="auto"/>
          <w:sz w:val="24"/>
          <w:szCs w:val="24"/>
          <w:highlight w:val="none"/>
          <w:lang w:eastAsia="zh-CN"/>
        </w:rPr>
        <w:t>报价部分</w:t>
      </w:r>
    </w:p>
    <w:p w14:paraId="7B2CC07F">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7664C0B0">
      <w:pPr>
        <w:shd w:val="clear" w:color="auto" w:fill="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）投标分项报价表</w:t>
      </w:r>
    </w:p>
    <w:p w14:paraId="54D90696">
      <w:pPr>
        <w:shd w:val="clear" w:color="auto" w:fill="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10.1.2、</w:t>
      </w:r>
      <w:r>
        <w:rPr>
          <w:rFonts w:hint="eastAsia" w:ascii="宋体" w:hAnsi="宋体" w:eastAsia="宋体" w:cs="宋体"/>
          <w:b/>
          <w:bCs/>
          <w:color w:val="auto"/>
          <w:sz w:val="24"/>
          <w:szCs w:val="24"/>
          <w:highlight w:val="none"/>
        </w:rPr>
        <w:t>技术商务部分</w:t>
      </w:r>
    </w:p>
    <w:p w14:paraId="2B61C795">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投标书</w:t>
      </w:r>
    </w:p>
    <w:p w14:paraId="5232A292">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技术与商务评分部分应答表</w:t>
      </w:r>
      <w:r>
        <w:rPr>
          <w:rFonts w:hint="eastAsia" w:ascii="宋体" w:hAnsi="宋体" w:eastAsia="宋体" w:cs="宋体"/>
          <w:color w:val="auto"/>
          <w:sz w:val="24"/>
          <w:szCs w:val="24"/>
          <w:highlight w:val="none"/>
          <w:lang w:eastAsia="zh-CN"/>
        </w:rPr>
        <w:t>（若有）</w:t>
      </w:r>
    </w:p>
    <w:p w14:paraId="487CDB3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技术和商务偏离表</w:t>
      </w:r>
    </w:p>
    <w:p w14:paraId="41E40BBC">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投标人资格证明文件</w:t>
      </w:r>
    </w:p>
    <w:p w14:paraId="7804FBD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招标服务费承诺书</w:t>
      </w:r>
    </w:p>
    <w:p w14:paraId="38DBCF13">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投标保证金</w:t>
      </w:r>
    </w:p>
    <w:p w14:paraId="5411231F">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投标人应交的其他材料</w:t>
      </w:r>
    </w:p>
    <w:p w14:paraId="7AF1E17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11.投标有效期</w:t>
      </w:r>
    </w:p>
    <w:p w14:paraId="52647374">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11.1投标文件从</w:t>
      </w:r>
      <w:r>
        <w:rPr>
          <w:rStyle w:val="44"/>
          <w:rFonts w:ascii="宋体" w:hAnsi="宋体" w:cs="宋体"/>
          <w:bCs/>
          <w:color w:val="auto"/>
          <w:sz w:val="24"/>
          <w:szCs w:val="24"/>
          <w:highlight w:val="none"/>
        </w:rPr>
        <w:t>投标人须知前附表</w:t>
      </w:r>
      <w:r>
        <w:rPr>
          <w:rStyle w:val="44"/>
          <w:rFonts w:ascii="宋体" w:hAnsi="宋体"/>
          <w:color w:val="auto"/>
          <w:sz w:val="24"/>
          <w:szCs w:val="24"/>
          <w:highlight w:val="none"/>
        </w:rPr>
        <w:t>第4项所规定的投标截止期之后开始生效，在</w:t>
      </w:r>
      <w:r>
        <w:rPr>
          <w:rStyle w:val="44"/>
          <w:rFonts w:ascii="宋体" w:hAnsi="宋体" w:cs="宋体"/>
          <w:bCs/>
          <w:color w:val="auto"/>
          <w:sz w:val="24"/>
          <w:szCs w:val="24"/>
          <w:highlight w:val="none"/>
        </w:rPr>
        <w:t>投标人须知前附表</w:t>
      </w:r>
      <w:r>
        <w:rPr>
          <w:rStyle w:val="44"/>
          <w:rFonts w:ascii="宋体" w:hAnsi="宋体"/>
          <w:color w:val="auto"/>
          <w:sz w:val="24"/>
          <w:szCs w:val="24"/>
          <w:highlight w:val="none"/>
        </w:rPr>
        <w:t>第3项所规定的期限内保持有效。有效期不足按无效投标处理。</w:t>
      </w:r>
    </w:p>
    <w:p w14:paraId="75CC1948">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6C3546E2">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12.投标保证金</w:t>
      </w:r>
    </w:p>
    <w:p w14:paraId="4E61F33B">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12.1 投标保证金为投标文件的组成部分之一。</w:t>
      </w:r>
    </w:p>
    <w:p w14:paraId="1013BFD6">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12.2 投标人应在提交投标文件之前向招标代理机构缴交投标人须知前附表第5项要求的投标保证金。</w:t>
      </w:r>
    </w:p>
    <w:p w14:paraId="3804D980">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12.3 投标保证金用于保护本次招标活动免受投标人的行为而引起的风险。</w:t>
      </w:r>
    </w:p>
    <w:p w14:paraId="2DC38C7F">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12.4 投标保证金以银行汇票、</w:t>
      </w:r>
      <w:r>
        <w:rPr>
          <w:rStyle w:val="44"/>
          <w:rFonts w:hint="eastAsia" w:ascii="宋体" w:hAnsi="宋体"/>
          <w:color w:val="auto"/>
          <w:sz w:val="24"/>
          <w:szCs w:val="24"/>
          <w:highlight w:val="none"/>
          <w:lang w:eastAsia="zh-CN"/>
        </w:rPr>
        <w:t>银行转账</w:t>
      </w:r>
      <w:r>
        <w:rPr>
          <w:rStyle w:val="44"/>
          <w:rFonts w:ascii="宋体" w:hAnsi="宋体"/>
          <w:color w:val="auto"/>
          <w:sz w:val="24"/>
          <w:szCs w:val="24"/>
          <w:highlight w:val="none"/>
        </w:rPr>
        <w:t>或银行电汇形式提交。</w:t>
      </w:r>
    </w:p>
    <w:p w14:paraId="58A933C8">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12.5 未按规定缴交投标保证金的投标，将被视为无效投标。</w:t>
      </w:r>
    </w:p>
    <w:p w14:paraId="633A65B7">
      <w:pPr>
        <w:shd w:val="clear" w:color="auto" w:fill="auto"/>
        <w:snapToGrid w:val="0"/>
        <w:spacing w:line="45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 xml:space="preserve">    12.6招标代理机构将在中标通知书发出之日起的五个工作日内予以原额无息退还中标人（含中标</w:t>
      </w:r>
      <w:r>
        <w:rPr>
          <w:rStyle w:val="44"/>
          <w:rFonts w:hint="eastAsia" w:ascii="宋体" w:hAnsi="宋体"/>
          <w:color w:val="auto"/>
          <w:sz w:val="24"/>
          <w:szCs w:val="24"/>
          <w:highlight w:val="none"/>
          <w:lang w:eastAsia="zh-CN"/>
        </w:rPr>
        <w:t>候选人</w:t>
      </w:r>
      <w:r>
        <w:rPr>
          <w:rStyle w:val="44"/>
          <w:rFonts w:ascii="宋体" w:hAnsi="宋体"/>
          <w:color w:val="auto"/>
          <w:sz w:val="24"/>
          <w:szCs w:val="24"/>
          <w:highlight w:val="none"/>
        </w:rPr>
        <w:t>）以外的投标人的投标保证金</w:t>
      </w:r>
      <w:r>
        <w:rPr>
          <w:rStyle w:val="44"/>
          <w:rFonts w:hint="eastAsia" w:ascii="宋体" w:hAnsi="宋体"/>
          <w:color w:val="auto"/>
          <w:sz w:val="24"/>
          <w:szCs w:val="24"/>
          <w:highlight w:val="none"/>
          <w:lang w:eastAsia="zh-CN"/>
        </w:rPr>
        <w:t>，</w:t>
      </w:r>
      <w:r>
        <w:rPr>
          <w:rStyle w:val="44"/>
          <w:rFonts w:ascii="宋体" w:hAnsi="宋体"/>
          <w:color w:val="auto"/>
          <w:sz w:val="24"/>
          <w:szCs w:val="24"/>
          <w:highlight w:val="none"/>
        </w:rPr>
        <w:t>投标人</w:t>
      </w:r>
      <w:r>
        <w:rPr>
          <w:rStyle w:val="44"/>
          <w:rFonts w:hint="eastAsia" w:ascii="宋体" w:hAnsi="宋体"/>
          <w:color w:val="auto"/>
          <w:sz w:val="24"/>
          <w:szCs w:val="24"/>
          <w:highlight w:val="none"/>
          <w:lang w:eastAsia="zh-CN"/>
        </w:rPr>
        <w:t>因为自身原因导致退还时间延后的，代理机构不承担延后退还保证金的责任。</w:t>
      </w:r>
    </w:p>
    <w:p w14:paraId="3C1A91A3">
      <w:pPr>
        <w:shd w:val="clear" w:color="auto" w:fill="auto"/>
        <w:snapToGrid w:val="0"/>
        <w:spacing w:line="450" w:lineRule="exact"/>
        <w:ind w:firstLine="482" w:firstLineChars="200"/>
        <w:rPr>
          <w:rStyle w:val="44"/>
          <w:rFonts w:ascii="宋体" w:hAnsi="宋体"/>
          <w:b/>
          <w:color w:val="auto"/>
          <w:sz w:val="24"/>
          <w:szCs w:val="24"/>
          <w:highlight w:val="none"/>
        </w:rPr>
      </w:pPr>
      <w:r>
        <w:rPr>
          <w:rStyle w:val="44"/>
          <w:rFonts w:ascii="宋体" w:hAnsi="宋体"/>
          <w:b/>
          <w:color w:val="auto"/>
          <w:sz w:val="24"/>
          <w:szCs w:val="24"/>
          <w:highlight w:val="none"/>
        </w:rPr>
        <w:t>12.7在中标人支付所有招标服务费、提交履约保证金（</w:t>
      </w:r>
      <w:r>
        <w:rPr>
          <w:rStyle w:val="44"/>
          <w:rFonts w:ascii="宋体" w:hAnsi="宋体"/>
          <w:b/>
          <w:color w:val="auto"/>
          <w:sz w:val="24"/>
          <w:szCs w:val="24"/>
          <w:highlight w:val="none"/>
          <w:shd w:val="clear" w:color="auto" w:fill="E6E6E6"/>
        </w:rPr>
        <w:t>招标人如有要求中标人支付履约保证金的，则须支付履约保证金后）</w:t>
      </w:r>
      <w:r>
        <w:rPr>
          <w:rStyle w:val="44"/>
          <w:rFonts w:ascii="宋体" w:hAnsi="宋体"/>
          <w:b/>
          <w:color w:val="auto"/>
          <w:sz w:val="24"/>
          <w:szCs w:val="24"/>
          <w:highlight w:val="none"/>
        </w:rPr>
        <w:t>并签订合同后将合同送达</w:t>
      </w:r>
      <w:r>
        <w:rPr>
          <w:rStyle w:val="44"/>
          <w:rFonts w:hint="eastAsia" w:ascii="宋体" w:hAnsi="宋体"/>
          <w:b/>
          <w:color w:val="auto"/>
          <w:sz w:val="24"/>
          <w:szCs w:val="24"/>
          <w:highlight w:val="none"/>
        </w:rPr>
        <w:t>福建方兴</w:t>
      </w:r>
      <w:r>
        <w:rPr>
          <w:rStyle w:val="44"/>
          <w:rFonts w:ascii="宋体" w:hAnsi="宋体"/>
          <w:b/>
          <w:color w:val="auto"/>
          <w:sz w:val="24"/>
          <w:szCs w:val="24"/>
          <w:highlight w:val="none"/>
        </w:rPr>
        <w:t>招标代理有限公司后五个工作日内，中标人（含中标</w:t>
      </w:r>
      <w:r>
        <w:rPr>
          <w:rStyle w:val="44"/>
          <w:rFonts w:hint="eastAsia" w:ascii="宋体" w:hAnsi="宋体"/>
          <w:b/>
          <w:color w:val="auto"/>
          <w:sz w:val="24"/>
          <w:szCs w:val="24"/>
          <w:highlight w:val="none"/>
          <w:lang w:eastAsia="zh-CN"/>
        </w:rPr>
        <w:t>候选人</w:t>
      </w:r>
      <w:r>
        <w:rPr>
          <w:rStyle w:val="44"/>
          <w:rFonts w:ascii="宋体" w:hAnsi="宋体"/>
          <w:b/>
          <w:color w:val="auto"/>
          <w:sz w:val="24"/>
          <w:szCs w:val="24"/>
          <w:highlight w:val="none"/>
        </w:rPr>
        <w:t>）的投标保证金予以原额无息退还。</w:t>
      </w:r>
    </w:p>
    <w:p w14:paraId="27E38505">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12.8 投标保证金的有效期为投标有效期满后的30个日历日。</w:t>
      </w:r>
    </w:p>
    <w:p w14:paraId="453C6536">
      <w:pPr>
        <w:snapToGrid w:val="0"/>
        <w:spacing w:line="450" w:lineRule="exact"/>
        <w:ind w:firstLine="480" w:firstLineChars="200"/>
        <w:rPr>
          <w:rStyle w:val="44"/>
          <w:rFonts w:ascii="宋体" w:hAnsi="宋体"/>
          <w:color w:val="auto"/>
          <w:spacing w:val="-4"/>
          <w:sz w:val="24"/>
          <w:szCs w:val="24"/>
          <w:highlight w:val="none"/>
        </w:rPr>
      </w:pPr>
      <w:r>
        <w:rPr>
          <w:rStyle w:val="44"/>
          <w:rFonts w:ascii="宋体" w:hAnsi="宋体"/>
          <w:color w:val="auto"/>
          <w:sz w:val="24"/>
          <w:szCs w:val="24"/>
          <w:highlight w:val="none"/>
        </w:rPr>
        <w:t>12.9 发生以下情况之一的，投标保证金将不予退还</w:t>
      </w:r>
      <w:r>
        <w:rPr>
          <w:rStyle w:val="44"/>
          <w:rFonts w:ascii="宋体" w:hAnsi="宋体"/>
          <w:color w:val="auto"/>
          <w:spacing w:val="-4"/>
          <w:sz w:val="24"/>
          <w:szCs w:val="24"/>
          <w:highlight w:val="none"/>
        </w:rPr>
        <w:t>：</w:t>
      </w:r>
    </w:p>
    <w:p w14:paraId="1ED41D4C">
      <w:pPr>
        <w:snapToGrid w:val="0"/>
        <w:spacing w:line="45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 xml:space="preserve"> (1)投标人在投标截止期后，投标有效期内撤回投标；</w:t>
      </w:r>
    </w:p>
    <w:p w14:paraId="4C069020">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(2)中标人未能做到按本须知第22条规定签订合同；</w:t>
      </w:r>
    </w:p>
    <w:p w14:paraId="338627EA">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 xml:space="preserve">(3)中标人未按投标人须知前附表规定缴纳招标服务费、提交履约保证金； </w:t>
      </w:r>
    </w:p>
    <w:p w14:paraId="5ADB1989">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(4)以他人名义投标或者以其他方式弄虚作假，骗取中标；</w:t>
      </w:r>
    </w:p>
    <w:p w14:paraId="7D305917">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(5)经评委认定后有串通投标行为的；</w:t>
      </w:r>
    </w:p>
    <w:p w14:paraId="79C2E2FF">
      <w:pPr>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(6)本招标文件中规定的其他没收投标保证金的情形。</w:t>
      </w:r>
    </w:p>
    <w:p w14:paraId="222D728C">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上述不予退还投标保证金的情况给招标单位造成损失的，还要承担赔偿责任。</w:t>
      </w:r>
    </w:p>
    <w:p w14:paraId="45A47CD1">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13.投标文件的格式</w:t>
      </w:r>
    </w:p>
    <w:p w14:paraId="74C27E1D">
      <w:pPr>
        <w:shd w:val="clear" w:color="auto" w:fill="auto"/>
        <w:snapToGrid w:val="0"/>
        <w:spacing w:line="460" w:lineRule="exact"/>
        <w:ind w:firstLine="480" w:firstLineChars="200"/>
        <w:rPr>
          <w:rStyle w:val="44"/>
          <w:rFonts w:ascii="宋体" w:hAnsi="宋体"/>
          <w:color w:val="auto"/>
          <w:kern w:val="0"/>
          <w:sz w:val="24"/>
          <w:szCs w:val="24"/>
          <w:highlight w:val="none"/>
        </w:rPr>
      </w:pPr>
      <w:r>
        <w:rPr>
          <w:rStyle w:val="44"/>
          <w:rFonts w:ascii="宋体" w:hAnsi="宋体"/>
          <w:color w:val="auto"/>
          <w:sz w:val="24"/>
          <w:szCs w:val="24"/>
          <w:highlight w:val="none"/>
        </w:rPr>
        <w:t>13.1</w:t>
      </w:r>
      <w:r>
        <w:rPr>
          <w:rStyle w:val="44"/>
          <w:rFonts w:ascii="宋体" w:hAnsi="宋体"/>
          <w:color w:val="auto"/>
          <w:kern w:val="0"/>
          <w:sz w:val="24"/>
          <w:szCs w:val="24"/>
          <w:highlight w:val="none"/>
        </w:rPr>
        <w:t>投标人的投标文件由技术商务标和报价标两部分组成，并按以下要求制作，否则视为无效投标：</w:t>
      </w:r>
    </w:p>
    <w:p w14:paraId="0B61881E">
      <w:pPr>
        <w:shd w:val="clear" w:color="auto" w:fill="auto"/>
        <w:snapToGrid w:val="0"/>
        <w:spacing w:line="460" w:lineRule="exact"/>
        <w:ind w:firstLine="590" w:firstLineChars="245"/>
        <w:rPr>
          <w:rStyle w:val="44"/>
          <w:rFonts w:ascii="宋体" w:hAnsi="宋体"/>
          <w:b/>
          <w:color w:val="auto"/>
          <w:sz w:val="24"/>
          <w:szCs w:val="24"/>
          <w:highlight w:val="none"/>
        </w:rPr>
      </w:pPr>
      <w:r>
        <w:rPr>
          <w:rStyle w:val="44"/>
          <w:rFonts w:ascii="宋体" w:hAnsi="宋体"/>
          <w:b/>
          <w:color w:val="auto"/>
          <w:sz w:val="24"/>
          <w:szCs w:val="24"/>
          <w:highlight w:val="none"/>
        </w:rPr>
        <w:t>（1）投标文件的技术商务标须提供正本一份，副本伍份，正本必须用A4幅面纸张打印装订，副本可以用正本的完整复印件，并在封面标明“正本”、“副本”字样。正本与副本如有不一致，则以正本为准。投标文件技术商务标正副本必须胶装成册（为永久性、无破坏不可拆分）并加盖投标单位公章和骑缝章。</w:t>
      </w:r>
    </w:p>
    <w:p w14:paraId="3013C7A4">
      <w:pPr>
        <w:shd w:val="clear" w:color="auto" w:fill="auto"/>
        <w:snapToGrid w:val="0"/>
        <w:spacing w:line="460" w:lineRule="exact"/>
        <w:ind w:firstLine="590" w:firstLineChars="245"/>
        <w:rPr>
          <w:rStyle w:val="44"/>
          <w:rFonts w:ascii="宋体" w:hAnsi="宋体"/>
          <w:b/>
          <w:color w:val="auto"/>
          <w:sz w:val="24"/>
          <w:szCs w:val="24"/>
          <w:highlight w:val="none"/>
        </w:rPr>
      </w:pPr>
      <w:r>
        <w:rPr>
          <w:rStyle w:val="44"/>
          <w:rFonts w:ascii="宋体" w:hAnsi="宋体"/>
          <w:b/>
          <w:color w:val="auto"/>
          <w:sz w:val="24"/>
          <w:szCs w:val="24"/>
          <w:highlight w:val="none"/>
        </w:rPr>
        <w:t>（2）投标文件的报价标须装订后单独密封（含开标一览表及所有涉及投标报价部分的资料），并加盖投标单位公章。【正本壹份，副本贰份，并在封面标明“正本”、“副本”字样，正本与副本如有不一致，则以正本为准。】</w:t>
      </w:r>
    </w:p>
    <w:p w14:paraId="1BA6C1C9">
      <w:pPr>
        <w:shd w:val="clear" w:color="auto" w:fill="auto"/>
        <w:snapToGrid w:val="0"/>
        <w:spacing w:line="460" w:lineRule="exact"/>
        <w:ind w:firstLine="588" w:firstLineChars="245"/>
        <w:rPr>
          <w:rStyle w:val="44"/>
          <w:rFonts w:ascii="宋体" w:hAnsi="宋体"/>
          <w:b/>
          <w:color w:val="auto"/>
          <w:sz w:val="24"/>
          <w:szCs w:val="24"/>
          <w:highlight w:val="none"/>
        </w:rPr>
      </w:pPr>
      <w:r>
        <w:rPr>
          <w:rStyle w:val="44"/>
          <w:rFonts w:ascii="宋体" w:hAnsi="宋体"/>
          <w:color w:val="auto"/>
          <w:sz w:val="24"/>
          <w:szCs w:val="24"/>
          <w:highlight w:val="none"/>
        </w:rPr>
        <w:t>（3）电子文件，投标人必须随投标书同时提交</w:t>
      </w:r>
      <w:r>
        <w:rPr>
          <w:rStyle w:val="44"/>
          <w:rFonts w:ascii="宋体" w:hAnsi="宋体"/>
          <w:color w:val="auto"/>
          <w:sz w:val="24"/>
          <w:szCs w:val="24"/>
          <w:highlight w:val="none"/>
          <w:u w:val="single" w:color="000000"/>
        </w:rPr>
        <w:t>一套全部投标文件内容的电子文件（U盘或光盘，无病毒）</w:t>
      </w:r>
      <w:r>
        <w:rPr>
          <w:rStyle w:val="44"/>
          <w:rFonts w:ascii="宋体" w:hAnsi="宋体"/>
          <w:color w:val="auto"/>
          <w:sz w:val="24"/>
          <w:szCs w:val="24"/>
          <w:highlight w:val="none"/>
        </w:rPr>
        <w:t>，其中所有文件不做压缩处理、不留密码，资质文件和证书等可用扫描以图片方式保存。</w:t>
      </w:r>
    </w:p>
    <w:p w14:paraId="5BE2CC09">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13.2投标文件应由投标人的法定代表人或者其授权代表签字并加盖公章，如由后者签字，应提供“法定代表人授权委托书”。</w:t>
      </w:r>
    </w:p>
    <w:p w14:paraId="32B3AC35">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13.3除非有另外的规定或许可，投标使用货币为人民币。</w:t>
      </w:r>
    </w:p>
    <w:p w14:paraId="6554C93D">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13.4投标人应提交证明其拟供服务符合招标文件要求的技术响应文件，该文件可以是文字资料、图纸和数据，并须提供服务主要技术性能的详细描述。                                  </w:t>
      </w:r>
    </w:p>
    <w:p w14:paraId="6A1AC784">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13.5 投标文件的正本和全部副本均应使用不能擦去的墨料或墨水打印、书写或复印，并由法定代表人或其授权代表签署，盖投标人公章。</w:t>
      </w:r>
    </w:p>
    <w:p w14:paraId="1764A9B5">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 xml:space="preserve">13.6全套投标文件应无涂改和行间插字，除非这些改动是根据招标代理机构的指示进行的，或者是为改正投标人造成的必须修改的错误而进行的。有改动时，修改处应由授权代表签署证明或加盖校正章。 </w:t>
      </w:r>
    </w:p>
    <w:p w14:paraId="0C0FE491">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13.7未按本须知规定的格式填写投标文件、投标文件字迹模糊不清的，其投标将被拒绝。</w:t>
      </w:r>
    </w:p>
    <w:p w14:paraId="0C188B32">
      <w:pPr>
        <w:shd w:val="clear" w:color="auto" w:fill="auto"/>
        <w:snapToGrid w:val="0"/>
        <w:spacing w:line="450" w:lineRule="exact"/>
        <w:ind w:firstLine="482" w:firstLineChars="200"/>
        <w:rPr>
          <w:rStyle w:val="44"/>
          <w:rFonts w:ascii="宋体" w:hAnsi="宋体"/>
          <w:b/>
          <w:color w:val="auto"/>
          <w:sz w:val="24"/>
          <w:szCs w:val="24"/>
          <w:highlight w:val="none"/>
        </w:rPr>
      </w:pPr>
      <w:r>
        <w:rPr>
          <w:rStyle w:val="44"/>
          <w:rFonts w:ascii="宋体" w:hAnsi="宋体"/>
          <w:b/>
          <w:color w:val="auto"/>
          <w:sz w:val="24"/>
          <w:szCs w:val="24"/>
          <w:highlight w:val="none"/>
        </w:rPr>
        <w:t>13.8所有资格证明文件复印件均须在有效期内并加盖投标人公章。</w:t>
      </w:r>
    </w:p>
    <w:p w14:paraId="09E9B7AF">
      <w:pPr>
        <w:shd w:val="clear" w:color="auto" w:fill="auto"/>
        <w:snapToGrid w:val="0"/>
        <w:spacing w:line="450" w:lineRule="exact"/>
        <w:jc w:val="center"/>
        <w:rPr>
          <w:rStyle w:val="44"/>
          <w:rFonts w:ascii="宋体" w:hAnsi="宋体" w:cs="宋体"/>
          <w:b/>
          <w:bCs/>
          <w:color w:val="auto"/>
          <w:sz w:val="24"/>
          <w:szCs w:val="24"/>
          <w:highlight w:val="none"/>
        </w:rPr>
      </w:pPr>
    </w:p>
    <w:p w14:paraId="0A8E6706">
      <w:pPr>
        <w:pStyle w:val="4"/>
        <w:shd w:val="clear" w:color="auto" w:fill="auto"/>
        <w:bidi w:val="0"/>
        <w:rPr>
          <w:color w:val="auto"/>
          <w:highlight w:val="none"/>
        </w:rPr>
      </w:pPr>
      <w:bookmarkStart w:id="43" w:name="_Toc2556"/>
      <w:r>
        <w:rPr>
          <w:color w:val="auto"/>
          <w:highlight w:val="none"/>
        </w:rPr>
        <w:t>四</w:t>
      </w:r>
      <w:r>
        <w:rPr>
          <w:rFonts w:hint="eastAsia"/>
          <w:color w:val="auto"/>
          <w:highlight w:val="none"/>
          <w:lang w:eastAsia="zh-CN"/>
        </w:rPr>
        <w:t>、</w:t>
      </w:r>
      <w:r>
        <w:rPr>
          <w:color w:val="auto"/>
          <w:highlight w:val="none"/>
        </w:rPr>
        <w:t>投标文件的提交</w:t>
      </w:r>
      <w:bookmarkEnd w:id="43"/>
    </w:p>
    <w:p w14:paraId="062AE250">
      <w:pPr>
        <w:shd w:val="clear" w:color="auto" w:fill="auto"/>
        <w:snapToGrid w:val="0"/>
        <w:spacing w:line="450" w:lineRule="exact"/>
        <w:rPr>
          <w:rStyle w:val="44"/>
          <w:rFonts w:ascii="宋体" w:hAnsi="宋体"/>
          <w:color w:val="auto"/>
          <w:sz w:val="24"/>
          <w:szCs w:val="24"/>
          <w:highlight w:val="none"/>
        </w:rPr>
      </w:pPr>
    </w:p>
    <w:p w14:paraId="09015131">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14.投标文件的密封、标记和递交</w:t>
      </w:r>
    </w:p>
    <w:p w14:paraId="21ACFFA2">
      <w:pPr>
        <w:pStyle w:val="76"/>
        <w:shd w:val="clear" w:color="auto" w:fill="auto"/>
        <w:tabs>
          <w:tab w:val="left" w:pos="360"/>
        </w:tabs>
        <w:snapToGrid w:val="0"/>
        <w:spacing w:line="360" w:lineRule="auto"/>
        <w:ind w:firstLine="602"/>
        <w:rPr>
          <w:rStyle w:val="44"/>
          <w:rFonts w:ascii="宋体" w:hAnsi="宋体" w:eastAsia="宋体" w:cs="宋体"/>
          <w:b/>
          <w:bCs/>
          <w:color w:val="auto"/>
          <w:sz w:val="24"/>
          <w:szCs w:val="24"/>
          <w:highlight w:val="none"/>
          <w:u w:val="single" w:color="000000"/>
          <w:shd w:val="clear" w:color="auto" w:fill="E5E5E5"/>
        </w:rPr>
      </w:pPr>
      <w:r>
        <w:rPr>
          <w:rStyle w:val="44"/>
          <w:rFonts w:ascii="宋体" w:hAnsi="宋体" w:eastAsia="宋体"/>
          <w:color w:val="auto"/>
          <w:sz w:val="24"/>
          <w:szCs w:val="24"/>
          <w:highlight w:val="none"/>
        </w:rPr>
        <w:t>14.1投标人应将投标文件技术商务标、报价标正本和全部副本分别用信封密封，并标明招标编号、投标人名称、投标服务名称及“正本”或“副本”字样。招标文件中</w:t>
      </w:r>
      <w:r>
        <w:rPr>
          <w:rStyle w:val="44"/>
          <w:rFonts w:hint="eastAsia" w:ascii="宋体" w:hAnsi="宋体" w:eastAsia="宋体"/>
          <w:color w:val="auto"/>
          <w:sz w:val="24"/>
          <w:szCs w:val="24"/>
          <w:highlight w:val="none"/>
        </w:rPr>
        <w:t>若有</w:t>
      </w:r>
      <w:r>
        <w:rPr>
          <w:rStyle w:val="44"/>
          <w:rFonts w:ascii="宋体" w:hAnsi="宋体" w:eastAsia="宋体"/>
          <w:color w:val="auto"/>
          <w:sz w:val="24"/>
          <w:szCs w:val="24"/>
          <w:highlight w:val="none"/>
        </w:rPr>
        <w:t>所需现场核查的原件</w:t>
      </w:r>
      <w:r>
        <w:rPr>
          <w:rStyle w:val="44"/>
          <w:rFonts w:hint="eastAsia" w:ascii="宋体" w:hAnsi="宋体" w:eastAsia="宋体"/>
          <w:color w:val="auto"/>
          <w:sz w:val="24"/>
          <w:szCs w:val="24"/>
          <w:highlight w:val="none"/>
        </w:rPr>
        <w:t>需</w:t>
      </w:r>
      <w:r>
        <w:rPr>
          <w:rStyle w:val="44"/>
          <w:rFonts w:ascii="宋体" w:hAnsi="宋体" w:eastAsia="宋体"/>
          <w:color w:val="auto"/>
          <w:sz w:val="24"/>
          <w:szCs w:val="24"/>
          <w:highlight w:val="none"/>
        </w:rPr>
        <w:t>单独密封装入密封袋并在封面列明原件清单，评标结束后现场核查的原件退还给投标人。投标文件未密封将导致投标被拒绝。</w:t>
      </w:r>
    </w:p>
    <w:p w14:paraId="7DB5FA22">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14.2 每一信封密封处应注明“于</w:t>
      </w:r>
      <w:r>
        <w:rPr>
          <w:rStyle w:val="44"/>
          <w:rFonts w:hint="eastAsia" w:ascii="宋体" w:hAnsi="宋体"/>
          <w:color w:val="auto"/>
          <w:sz w:val="24"/>
          <w:szCs w:val="24"/>
          <w:highlight w:val="none"/>
          <w:u w:val="single"/>
          <w:lang w:val="en-US" w:eastAsia="zh-CN"/>
        </w:rPr>
        <w:t xml:space="preserve">      </w:t>
      </w:r>
      <w:r>
        <w:rPr>
          <w:rStyle w:val="44"/>
          <w:rFonts w:ascii="宋体" w:hAnsi="宋体"/>
          <w:color w:val="auto"/>
          <w:sz w:val="24"/>
          <w:szCs w:val="24"/>
          <w:highlight w:val="none"/>
        </w:rPr>
        <w:t>之前（指招标邀请中规定的开标日期及时间）不准启封”的字样，并加盖投标人公章。</w:t>
      </w:r>
    </w:p>
    <w:p w14:paraId="632C6C48">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14.3如果投标文件由邮局或专人送交，投标人应将投标文件按照本须知第14.1条至第14.2条的规定进行密封和标记后，按投标人须知前附表注明的地址送至接收人。</w:t>
      </w:r>
    </w:p>
    <w:p w14:paraId="7BA7A22E">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14.4如果未按上述规定进行密封和标记，招标代理机构将不承担由此造成的对投标文件的误投或提前拆封的责任。</w:t>
      </w:r>
    </w:p>
    <w:p w14:paraId="368BE255">
      <w:pPr>
        <w:shd w:val="clear" w:color="auto" w:fill="auto"/>
        <w:snapToGrid w:val="0"/>
        <w:spacing w:line="45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14.5投标文件应在投标邀请中规定的截止时间前送达，迟到的投标文件为无效投标文件, 将被拒收。</w:t>
      </w:r>
    </w:p>
    <w:p w14:paraId="3592B4A2">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14.6投标人在投标截止时间前，可以对所提交的投标文件进行修改或者撤回，并书面通知招标代理机构。修改的内容和撤回通知应当按本须知要求签署、盖章、密封，并作为投标文件的组成部分。</w:t>
      </w:r>
    </w:p>
    <w:p w14:paraId="04DC7D77">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14.7投标人在投标截止期后不得修改、撤回投标文件。投标人在投标截止期后修改投标文件的，其投标被拒绝。</w:t>
      </w:r>
    </w:p>
    <w:p w14:paraId="5E5F0892">
      <w:pPr>
        <w:shd w:val="clear" w:color="auto" w:fill="auto"/>
        <w:snapToGrid w:val="0"/>
        <w:spacing w:line="45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14.8投标截止时间结束后参加投标的投标人不足三家的，本次招标程序终止，除招标任务取消情形外，招标单位将依法重新组织招标或者采取其他方式招标。</w:t>
      </w:r>
    </w:p>
    <w:p w14:paraId="1F63BE7D">
      <w:pPr>
        <w:shd w:val="clear" w:color="auto" w:fill="auto"/>
        <w:snapToGrid w:val="0"/>
        <w:spacing w:line="450" w:lineRule="exact"/>
        <w:rPr>
          <w:rStyle w:val="44"/>
          <w:rFonts w:ascii="宋体" w:hAnsi="宋体"/>
          <w:color w:val="auto"/>
          <w:sz w:val="24"/>
          <w:szCs w:val="24"/>
          <w:highlight w:val="none"/>
        </w:rPr>
      </w:pPr>
    </w:p>
    <w:p w14:paraId="366DB49C">
      <w:pPr>
        <w:pStyle w:val="4"/>
        <w:shd w:val="clear" w:color="auto" w:fill="auto"/>
        <w:bidi w:val="0"/>
        <w:rPr>
          <w:color w:val="auto"/>
          <w:highlight w:val="none"/>
        </w:rPr>
      </w:pPr>
      <w:r>
        <w:rPr>
          <w:color w:val="auto"/>
          <w:highlight w:val="none"/>
        </w:rPr>
        <w:br w:type="page"/>
      </w:r>
      <w:bookmarkStart w:id="44" w:name="_Toc13480"/>
      <w:r>
        <w:rPr>
          <w:color w:val="auto"/>
          <w:highlight w:val="none"/>
        </w:rPr>
        <w:t>五、投标文件的评估和比较</w:t>
      </w:r>
      <w:bookmarkEnd w:id="44"/>
    </w:p>
    <w:p w14:paraId="2C67C182">
      <w:pPr>
        <w:shd w:val="clear" w:color="auto" w:fill="auto"/>
        <w:snapToGrid w:val="0"/>
        <w:spacing w:line="420" w:lineRule="exact"/>
        <w:rPr>
          <w:rStyle w:val="44"/>
          <w:rFonts w:ascii="宋体" w:hAnsi="宋体"/>
          <w:color w:val="auto"/>
          <w:sz w:val="24"/>
          <w:szCs w:val="24"/>
          <w:highlight w:val="none"/>
        </w:rPr>
      </w:pPr>
    </w:p>
    <w:p w14:paraId="0B689753">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15.开标、评标时间</w:t>
      </w:r>
    </w:p>
    <w:p w14:paraId="41F5E6F8">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15.1 在投标人须知前附表中所规定的时间、地点开标。</w:t>
      </w:r>
    </w:p>
    <w:p w14:paraId="07C3B4E6">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15.2开标由招标代理机构主持，招标人、投标人和有关方面代表参加。所有投标人应派授权代表参加开标会，并签到。</w:t>
      </w:r>
    </w:p>
    <w:p w14:paraId="7B31CFC3">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15.3开标时，由招标人监督代表及投标人授权代表检查投标文件的密封情况，对符合密封要求的投标文件按照提交投标文件时间的先后顺序（或者逆顺序）当场逐一拆封，由开标会主持人宣唱并记录各投标人的报价，唱标内容为“开标一览表”内容，唱标结束，宣读后的开标一览表由招标代理机构统一重新密封。招标代理机构对唱标内容作开标记录，由投标人代表签字确认（投标人代表须携带身份证原件到开标现场备查，与投标人代表不符或未携带身份证原件，将导致其投标文件被拒绝），方可离场（不要在招标公司逗留）。</w:t>
      </w:r>
    </w:p>
    <w:p w14:paraId="7B1622E7">
      <w:pPr>
        <w:shd w:val="clear" w:color="auto" w:fill="auto"/>
        <w:bidi w:val="0"/>
        <w:rPr>
          <w:color w:val="auto"/>
          <w:sz w:val="24"/>
          <w:szCs w:val="24"/>
          <w:highlight w:val="none"/>
        </w:rPr>
      </w:pPr>
      <w:bookmarkStart w:id="45" w:name="_Toc127352869"/>
      <w:bookmarkStart w:id="46" w:name="_Toc483464357"/>
      <w:bookmarkStart w:id="47" w:name="_Toc458015625"/>
      <w:r>
        <w:rPr>
          <w:rFonts w:hint="eastAsia"/>
          <w:color w:val="auto"/>
          <w:sz w:val="24"/>
          <w:szCs w:val="24"/>
          <w:highlight w:val="none"/>
        </w:rPr>
        <w:t>16．评标委员会</w:t>
      </w:r>
      <w:bookmarkEnd w:id="45"/>
      <w:bookmarkEnd w:id="46"/>
      <w:bookmarkEnd w:id="47"/>
    </w:p>
    <w:p w14:paraId="7205BEF9">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240" w:firstLineChars="100"/>
        <w:textAlignment w:val="baseline"/>
        <w:rPr>
          <w:rFonts w:ascii="宋体" w:hAnsi="宋体" w:eastAsia="宋体"/>
          <w:color w:val="auto"/>
          <w:sz w:val="24"/>
          <w:highlight w:val="none"/>
        </w:rPr>
      </w:pPr>
      <w:r>
        <w:rPr>
          <w:rFonts w:hint="eastAsia" w:ascii="宋体" w:hAnsi="宋体" w:eastAsia="宋体"/>
          <w:color w:val="auto"/>
          <w:sz w:val="24"/>
          <w:highlight w:val="none"/>
        </w:rPr>
        <w:t xml:space="preserve">  16.1招标代理机构根据招标货物和服务的特点依法组建评标委员会。评标委员会由技术、经济、法律方面的专家和招标人代表组成。成员为5人以上单数组成，专家不能少于三分之二。由评标委员会对投标文件进行审查、质疑、评估和比较，并做出授予合同的建议。</w:t>
      </w:r>
    </w:p>
    <w:p w14:paraId="1268AF91">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rPr>
        <w:t>16.2 评标委员会成员有下列情形之一的，应当回避：</w:t>
      </w:r>
    </w:p>
    <w:p w14:paraId="6519837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bookmarkStart w:id="48" w:name="_Toc233627390"/>
      <w:r>
        <w:rPr>
          <w:rFonts w:hint="eastAsia" w:ascii="宋体" w:hAnsi="宋体" w:eastAsia="宋体"/>
          <w:color w:val="auto"/>
          <w:sz w:val="24"/>
          <w:highlight w:val="none"/>
          <w:lang w:eastAsia="zh-CN"/>
        </w:rPr>
        <w:t>（</w:t>
      </w:r>
      <w:r>
        <w:rPr>
          <w:rFonts w:hint="eastAsia" w:ascii="宋体" w:hAnsi="宋体" w:eastAsia="宋体"/>
          <w:color w:val="auto"/>
          <w:sz w:val="24"/>
          <w:highlight w:val="none"/>
        </w:rPr>
        <w:t>1</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现在或者在招标活动发生前三年内，与供应商存在雇佣关系；</w:t>
      </w:r>
    </w:p>
    <w:p w14:paraId="55219A08">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现在或者在招标活动发生前三年内担任供应商的财务顾问、法律顾问或技术顾问；</w:t>
      </w:r>
    </w:p>
    <w:p w14:paraId="5C6D042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现在或者在招标活动发生前三年内是供应商的控股股东或者实际控制人；</w:t>
      </w:r>
    </w:p>
    <w:p w14:paraId="2F0BF42B">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与供应商的法定代表人或者负责人是直系血亲、三代以内旁系血亲及姻亲关系；</w:t>
      </w:r>
    </w:p>
    <w:p w14:paraId="2248A92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 与供应商之间存在其他影响或可能影响招标活动依法进行的利害关系。</w:t>
      </w:r>
    </w:p>
    <w:p w14:paraId="5078E21A">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baseline"/>
        <w:rPr>
          <w:rFonts w:ascii="宋体" w:hAnsi="宋体" w:eastAsia="宋体"/>
          <w:color w:val="auto"/>
          <w:sz w:val="24"/>
          <w:highlight w:val="none"/>
        </w:rPr>
      </w:pPr>
      <w:r>
        <w:rPr>
          <w:rFonts w:hint="eastAsia" w:ascii="宋体" w:hAnsi="宋体" w:eastAsia="宋体"/>
          <w:color w:val="auto"/>
          <w:sz w:val="24"/>
          <w:highlight w:val="none"/>
        </w:rPr>
        <w:t>16.3 评标原则</w:t>
      </w:r>
      <w:bookmarkEnd w:id="48"/>
    </w:p>
    <w:p w14:paraId="030755E5">
      <w:pPr>
        <w:keepNext w:val="0"/>
        <w:keepLines w:val="0"/>
        <w:pageBreakBefore w:val="0"/>
        <w:widowControl/>
        <w:shd w:val="clear" w:color="auto" w:fill="auto"/>
        <w:tabs>
          <w:tab w:val="right" w:pos="9723"/>
        </w:tabs>
        <w:kinsoku/>
        <w:wordWrap/>
        <w:overflowPunct/>
        <w:topLinePunct w:val="0"/>
        <w:autoSpaceDE/>
        <w:autoSpaceDN/>
        <w:bidi w:val="0"/>
        <w:adjustRightInd/>
        <w:snapToGrid/>
        <w:spacing w:line="440" w:lineRule="exact"/>
        <w:ind w:firstLine="480" w:firstLineChars="200"/>
        <w:textAlignment w:val="baseline"/>
        <w:rPr>
          <w:rFonts w:ascii="宋体" w:hAnsi="宋体"/>
          <w:color w:val="auto"/>
          <w:sz w:val="24"/>
          <w:highlight w:val="none"/>
        </w:rPr>
      </w:pPr>
      <w:r>
        <w:rPr>
          <w:rFonts w:hint="eastAsia" w:ascii="宋体" w:hAnsi="宋体" w:eastAsia="宋体"/>
          <w:color w:val="auto"/>
          <w:sz w:val="24"/>
          <w:highlight w:val="none"/>
        </w:rPr>
        <w:t>评标活动按照客观、公正、审慎的原则。</w:t>
      </w:r>
    </w:p>
    <w:p w14:paraId="71B11C93">
      <w:pPr>
        <w:shd w:val="clear" w:color="auto" w:fill="auto"/>
        <w:bidi w:val="0"/>
        <w:rPr>
          <w:color w:val="auto"/>
          <w:sz w:val="24"/>
          <w:szCs w:val="24"/>
          <w:highlight w:val="none"/>
        </w:rPr>
      </w:pPr>
      <w:bookmarkStart w:id="49" w:name="_Toc457422016"/>
      <w:bookmarkStart w:id="50" w:name="_Toc457368409"/>
      <w:bookmarkStart w:id="51" w:name="_Toc456183445"/>
      <w:bookmarkStart w:id="52" w:name="_Toc455386174"/>
      <w:bookmarkStart w:id="53" w:name="_Toc42006880"/>
      <w:r>
        <w:rPr>
          <w:rFonts w:hint="eastAsia"/>
          <w:color w:val="auto"/>
          <w:sz w:val="24"/>
          <w:szCs w:val="24"/>
          <w:highlight w:val="none"/>
        </w:rPr>
        <w:t>17. 投标文件</w:t>
      </w:r>
      <w:bookmarkEnd w:id="49"/>
      <w:bookmarkEnd w:id="50"/>
      <w:bookmarkEnd w:id="51"/>
      <w:bookmarkEnd w:id="52"/>
      <w:r>
        <w:rPr>
          <w:rFonts w:hint="eastAsia"/>
          <w:color w:val="auto"/>
          <w:sz w:val="24"/>
          <w:szCs w:val="24"/>
          <w:highlight w:val="none"/>
        </w:rPr>
        <w:t>审查</w:t>
      </w:r>
      <w:bookmarkEnd w:id="53"/>
    </w:p>
    <w:p w14:paraId="7C02C75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对所有投标人的评估，都采用相同的程序和标准。评议过程将严格按照招标文件的要求和条件进行。</w:t>
      </w:r>
    </w:p>
    <w:p w14:paraId="72E3ED2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14:paraId="1B4AA5E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投标人任何试图影响评标委员会对投标文件的评估、比较或者推荐中标候选人的行为，都将导致其投标无效，其投标保证金将不予退还。</w:t>
      </w:r>
    </w:p>
    <w:p w14:paraId="49671B92">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17.1评标委员会将对投标文件进行检查，以确定投标文件是否完整、有无计算上的错误、文件是否已正确签署。</w:t>
      </w:r>
    </w:p>
    <w:p w14:paraId="2DF3676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17.2技术商务部分符合性检查 </w:t>
      </w:r>
    </w:p>
    <w:p w14:paraId="39E4BA4B">
      <w:pPr>
        <w:shd w:val="clear" w:color="auto" w:fill="auto"/>
        <w:spacing w:line="500" w:lineRule="exact"/>
        <w:rPr>
          <w:rFonts w:ascii="宋体" w:hAnsi="宋体"/>
          <w:color w:val="auto"/>
          <w:sz w:val="24"/>
          <w:highlight w:val="none"/>
        </w:rPr>
      </w:pPr>
      <w:r>
        <w:rPr>
          <w:rFonts w:hint="eastAsia" w:ascii="宋体" w:hAnsi="宋体"/>
          <w:color w:val="auto"/>
          <w:sz w:val="24"/>
          <w:highlight w:val="none"/>
        </w:rPr>
        <w:t xml:space="preserve">    依据招标文件的规定，评标委员会还将从投标文件的有效性、完整性和对招标文件的响应程度进行审查，以确定是否符合对招标文件的实质性要求做出响应。实质性偏离是指：</w:t>
      </w: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实质性影响合同的范围、质量和履行；</w:t>
      </w: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实质性违背招标文件，限制了招标人的权利和</w:t>
      </w:r>
      <w:r>
        <w:rPr>
          <w:rFonts w:hint="eastAsia" w:ascii="宋体" w:hAnsi="宋体"/>
          <w:color w:val="auto"/>
          <w:sz w:val="24"/>
          <w:highlight w:val="none"/>
          <w:lang w:eastAsia="zh-CN"/>
        </w:rPr>
        <w:t>中标人</w:t>
      </w:r>
      <w:r>
        <w:rPr>
          <w:rFonts w:hint="eastAsia" w:ascii="宋体" w:hAnsi="宋体"/>
          <w:color w:val="auto"/>
          <w:sz w:val="24"/>
          <w:highlight w:val="none"/>
        </w:rPr>
        <w:t>合同项下的义务；</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不公正地影响了其它做出实质性响应的投标人的竞争地位。对没有实质性响应的投标文件将不进行评估，其投标无效。凡有下列情况之一者，投标文件也将被视为未实质性响应招标文件要求，按照无效投标处理：</w:t>
      </w:r>
    </w:p>
    <w:p w14:paraId="2CD0DA3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 未按规定由投标人的法定代表人或其授权代表签字，或未加盖投标人公章的；或签字人未经法定代表人有效授权委托的；</w:t>
      </w:r>
    </w:p>
    <w:p w14:paraId="6B3B104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 xml:space="preserve"> 投标有效期不满足招标文件要求的；</w:t>
      </w:r>
    </w:p>
    <w:p w14:paraId="75EB9693">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 xml:space="preserve"> 未按照招标文件规定要求签署、盖章的；</w:t>
      </w:r>
    </w:p>
    <w:p w14:paraId="67EA1AB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不符合招标文件中规定的资格要求；</w:t>
      </w:r>
    </w:p>
    <w:p w14:paraId="1D2769F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投标文件含有招标人不能接受的附加条件；</w:t>
      </w:r>
    </w:p>
    <w:p w14:paraId="6CB2CFA5">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 xml:space="preserve"> 一个投标人不止投一个标；</w:t>
      </w:r>
    </w:p>
    <w:p w14:paraId="565DA04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投标文件组成不符合招标文件要求的；</w:t>
      </w:r>
    </w:p>
    <w:p w14:paraId="3C71024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投标文件中提供虚假或失实资料的；</w:t>
      </w:r>
    </w:p>
    <w:p w14:paraId="30AF593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9</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未按规定提交封面盖公章，并加盖骑缝章或每页盖公章</w:t>
      </w:r>
      <w:r>
        <w:rPr>
          <w:rFonts w:hint="eastAsia" w:ascii="宋体" w:hAnsi="宋体"/>
          <w:color w:val="auto"/>
          <w:sz w:val="24"/>
          <w:highlight w:val="none"/>
          <w:lang w:eastAsia="zh-CN"/>
        </w:rPr>
        <w:t>（</w:t>
      </w:r>
      <w:r>
        <w:rPr>
          <w:rFonts w:ascii="宋体" w:hAnsi="宋体"/>
          <w:color w:val="auto"/>
          <w:sz w:val="24"/>
          <w:highlight w:val="none"/>
        </w:rPr>
        <w:t>非报价专用章或业务章</w:t>
      </w:r>
      <w:r>
        <w:rPr>
          <w:rFonts w:hint="eastAsia" w:ascii="宋体" w:hAnsi="宋体"/>
          <w:color w:val="auto"/>
          <w:sz w:val="24"/>
          <w:highlight w:val="none"/>
          <w:lang w:eastAsia="zh-CN"/>
        </w:rPr>
        <w:t>）</w:t>
      </w:r>
      <w:r>
        <w:rPr>
          <w:rFonts w:ascii="宋体" w:hAnsi="宋体"/>
          <w:color w:val="auto"/>
          <w:sz w:val="24"/>
          <w:highlight w:val="none"/>
        </w:rPr>
        <w:t>的；</w:t>
      </w:r>
    </w:p>
    <w:p w14:paraId="06622EE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10</w:t>
      </w:r>
      <w:r>
        <w:rPr>
          <w:rFonts w:hint="eastAsia" w:ascii="宋体" w:hAnsi="宋体"/>
          <w:color w:val="auto"/>
          <w:sz w:val="24"/>
          <w:highlight w:val="none"/>
          <w:lang w:eastAsia="zh-CN"/>
        </w:rPr>
        <w:t>）</w:t>
      </w:r>
      <w:r>
        <w:rPr>
          <w:rFonts w:ascii="宋体" w:hAnsi="宋体"/>
          <w:color w:val="auto"/>
          <w:sz w:val="24"/>
          <w:highlight w:val="none"/>
        </w:rPr>
        <w:t xml:space="preserve"> 未按规定将技术商务部分和报价部分单独装订的；</w:t>
      </w:r>
    </w:p>
    <w:p w14:paraId="28574E9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内容不全或关键字迹模糊、无法辨认的；</w:t>
      </w:r>
    </w:p>
    <w:p w14:paraId="72D6963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ascii="宋体" w:hAnsi="宋体"/>
          <w:color w:val="auto"/>
          <w:sz w:val="24"/>
          <w:highlight w:val="none"/>
        </w:rPr>
        <w:t xml:space="preserve"> 投标人名称或组织结构与资格性审查时不一致且未提供有效证明的；</w:t>
      </w:r>
    </w:p>
    <w:p w14:paraId="643DDEE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 xml:space="preserve"> </w:t>
      </w:r>
      <w:r>
        <w:rPr>
          <w:rFonts w:ascii="宋体" w:hAnsi="宋体"/>
          <w:color w:val="auto"/>
          <w:sz w:val="24"/>
          <w:highlight w:val="none"/>
        </w:rPr>
        <w:t>采取分包、转包方式履行合同的；</w:t>
      </w:r>
    </w:p>
    <w:p w14:paraId="71C2566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投标文件附有招标人不能接受的条件；</w:t>
      </w:r>
    </w:p>
    <w:p w14:paraId="3678C31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投标文件载明的招标项目服务期限超过招标文件规定或未载明招标项目服务期限的；</w:t>
      </w:r>
    </w:p>
    <w:p w14:paraId="090F27C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16</w:t>
      </w:r>
      <w:r>
        <w:rPr>
          <w:rFonts w:hint="eastAsia" w:ascii="宋体" w:hAnsi="宋体"/>
          <w:color w:val="auto"/>
          <w:sz w:val="24"/>
          <w:highlight w:val="none"/>
          <w:lang w:eastAsia="zh-CN"/>
        </w:rPr>
        <w:t>）</w:t>
      </w:r>
      <w:r>
        <w:rPr>
          <w:rFonts w:hint="eastAsia"/>
          <w:color w:val="auto"/>
          <w:highlight w:val="none"/>
        </w:rPr>
        <w:t xml:space="preserve"> </w:t>
      </w:r>
      <w:r>
        <w:rPr>
          <w:rFonts w:hint="eastAsia" w:ascii="宋体" w:hAnsi="宋体"/>
          <w:color w:val="auto"/>
          <w:sz w:val="24"/>
          <w:highlight w:val="none"/>
        </w:rPr>
        <w:t>不符合招标文件中规定的实质性要求和条件、实质性条款、无效投标条款的。</w:t>
      </w:r>
    </w:p>
    <w:p w14:paraId="6FA4428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评标委员会对资格性审查、符合性审查及判定投标的响应性只根据投标文件本身的内容，而不寻求其他的外部证据。</w:t>
      </w:r>
    </w:p>
    <w:p w14:paraId="47B1169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17.3 技术商务部分的评标结束后，评标委员会将对投标文件报价部分进行检查，以确定投标文件报价部分是否完整、有无计算上的错误、文件是否已正确签署。</w:t>
      </w:r>
    </w:p>
    <w:p w14:paraId="5BCC0511">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17.4投标文件报价出现前后不一致的，按照下列规定修正：</w:t>
      </w:r>
    </w:p>
    <w:p w14:paraId="22A9FC5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投标文件中开标一览表</w:t>
      </w:r>
      <w:r>
        <w:rPr>
          <w:rFonts w:hint="eastAsia" w:ascii="宋体" w:hAnsi="宋体"/>
          <w:color w:val="auto"/>
          <w:sz w:val="24"/>
          <w:highlight w:val="none"/>
          <w:lang w:eastAsia="zh-CN"/>
        </w:rPr>
        <w:t>（</w:t>
      </w:r>
      <w:r>
        <w:rPr>
          <w:rFonts w:hint="eastAsia" w:ascii="宋体" w:hAnsi="宋体"/>
          <w:color w:val="auto"/>
          <w:sz w:val="24"/>
          <w:highlight w:val="none"/>
        </w:rPr>
        <w:t>报价表</w:t>
      </w:r>
      <w:r>
        <w:rPr>
          <w:rFonts w:hint="eastAsia" w:ascii="宋体" w:hAnsi="宋体"/>
          <w:color w:val="auto"/>
          <w:sz w:val="24"/>
          <w:highlight w:val="none"/>
          <w:lang w:eastAsia="zh-CN"/>
        </w:rPr>
        <w:t>）</w:t>
      </w:r>
      <w:r>
        <w:rPr>
          <w:rFonts w:hint="eastAsia" w:ascii="宋体" w:hAnsi="宋体"/>
          <w:color w:val="auto"/>
          <w:sz w:val="24"/>
          <w:highlight w:val="none"/>
        </w:rPr>
        <w:t>内容与投标文件中相应内容不一致的，以开标一览表</w:t>
      </w:r>
      <w:r>
        <w:rPr>
          <w:rFonts w:hint="eastAsia" w:ascii="宋体" w:hAnsi="宋体"/>
          <w:color w:val="auto"/>
          <w:sz w:val="24"/>
          <w:highlight w:val="none"/>
          <w:lang w:eastAsia="zh-CN"/>
        </w:rPr>
        <w:t>（</w:t>
      </w:r>
      <w:r>
        <w:rPr>
          <w:rFonts w:hint="eastAsia" w:ascii="宋体" w:hAnsi="宋体"/>
          <w:color w:val="auto"/>
          <w:sz w:val="24"/>
          <w:highlight w:val="none"/>
        </w:rPr>
        <w:t>报价表</w:t>
      </w:r>
      <w:r>
        <w:rPr>
          <w:rFonts w:hint="eastAsia" w:ascii="宋体" w:hAnsi="宋体"/>
          <w:color w:val="auto"/>
          <w:sz w:val="24"/>
          <w:highlight w:val="none"/>
          <w:lang w:eastAsia="zh-CN"/>
        </w:rPr>
        <w:t>）</w:t>
      </w:r>
      <w:r>
        <w:rPr>
          <w:rFonts w:hint="eastAsia" w:ascii="宋体" w:hAnsi="宋体"/>
          <w:color w:val="auto"/>
          <w:sz w:val="24"/>
          <w:highlight w:val="none"/>
        </w:rPr>
        <w:t>为准；</w:t>
      </w:r>
    </w:p>
    <w:p w14:paraId="0216E7B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大写金额和小写金额不一致的，以大写金额为准；</w:t>
      </w:r>
    </w:p>
    <w:p w14:paraId="3E172FB2">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单价金额小数点或者百分比有明显错位的，以开标一览表的总价为准，并修改单价；</w:t>
      </w:r>
    </w:p>
    <w:p w14:paraId="560EDFC3">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总价金额与按单价汇总金额不一致的，以单价金额计算结果为准。</w:t>
      </w:r>
    </w:p>
    <w:p w14:paraId="60A8822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同时出现两种以上不一致的，按照前款规定的顺序修正。修正后的报价按照本须知第18条的规定经投标人确认后产生约束力，投标人不确认的，其投标无效。</w:t>
      </w:r>
    </w:p>
    <w:p w14:paraId="372E6EA9">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17.5报价部分符合性检查</w:t>
      </w:r>
    </w:p>
    <w:p w14:paraId="50450D7B">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依据招标文件的规定，评标委员会还将从投标文件的有效性、完整性和对招标文件的响应程度进行审查，以确定是否符合对招标文件的实质性要求做出响应。实质性偏离是指：</w:t>
      </w: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实质性影响合同的范围、质量和履行；</w:t>
      </w: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实质性违背招标文件，限制了招标人的权利和</w:t>
      </w:r>
      <w:r>
        <w:rPr>
          <w:rFonts w:hint="eastAsia" w:ascii="宋体" w:hAnsi="宋体"/>
          <w:color w:val="auto"/>
          <w:sz w:val="24"/>
          <w:highlight w:val="none"/>
          <w:lang w:eastAsia="zh-CN"/>
        </w:rPr>
        <w:t>中标人</w:t>
      </w:r>
      <w:r>
        <w:rPr>
          <w:rFonts w:hint="eastAsia" w:ascii="宋体" w:hAnsi="宋体"/>
          <w:color w:val="auto"/>
          <w:sz w:val="24"/>
          <w:highlight w:val="none"/>
        </w:rPr>
        <w:t>合同项下的义务；</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15D9C14F">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 未按规定由投标人的法定代表人或其授权代表签字，或未加盖投标人公章的；或签字人未经法定代表人有效授权委托的；</w:t>
      </w:r>
    </w:p>
    <w:p w14:paraId="18484FAA">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投标文件未按招标文件要求签署、盖章的</w:t>
      </w:r>
    </w:p>
    <w:p w14:paraId="1A61AE62">
      <w:pPr>
        <w:shd w:val="clear" w:color="auto" w:fill="auto"/>
        <w:spacing w:line="500" w:lineRule="exact"/>
        <w:ind w:firstLine="360" w:firstLineChars="1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 xml:space="preserve"> 投标人提交的是可选择的报价；</w:t>
      </w:r>
    </w:p>
    <w:p w14:paraId="56571856">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 xml:space="preserve"> 投标人未按规定填写投标分项报价表；</w:t>
      </w:r>
    </w:p>
    <w:p w14:paraId="376FA6F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投标文件组成不符合招标文件要求的；</w:t>
      </w:r>
    </w:p>
    <w:p w14:paraId="669BA381">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投标文件中提供虚假或失实资料的；</w:t>
      </w:r>
    </w:p>
    <w:p w14:paraId="43E002B4">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 xml:space="preserve"> 未按规定盖公章并装订成册的；</w:t>
      </w:r>
    </w:p>
    <w:p w14:paraId="6A5E7F7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 xml:space="preserve"> 内容不全或关键字迹模糊、无法辨认的；</w:t>
      </w:r>
    </w:p>
    <w:p w14:paraId="69B01D67">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rPr>
        <w:t xml:space="preserve"> 投标文件内容不符合招标文件中规定的其它实质性条款。</w:t>
      </w:r>
    </w:p>
    <w:p w14:paraId="38704F0C">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评标委员会对报价部分符合性审查及判定投标的响应性只根据投标文件报价部分本身的内容，而不寻求其他的外部证据。</w:t>
      </w:r>
    </w:p>
    <w:p w14:paraId="1EAB5CF3">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17.6串通投标的情形</w:t>
      </w:r>
    </w:p>
    <w:p w14:paraId="21FDE248">
      <w:pPr>
        <w:widowControl/>
        <w:shd w:val="clear" w:color="auto" w:fill="auto"/>
        <w:snapToGrid w:val="0"/>
        <w:spacing w:line="500" w:lineRule="exact"/>
        <w:ind w:firstLine="480" w:firstLineChars="200"/>
        <w:jc w:val="left"/>
        <w:rPr>
          <w:rFonts w:ascii="宋体" w:hAnsi="宋体"/>
          <w:color w:val="auto"/>
          <w:sz w:val="24"/>
          <w:highlight w:val="none"/>
        </w:rPr>
      </w:pPr>
      <w:r>
        <w:rPr>
          <w:rFonts w:ascii="宋体" w:hAnsi="宋体"/>
          <w:color w:val="auto"/>
          <w:sz w:val="24"/>
          <w:highlight w:val="none"/>
        </w:rPr>
        <w:t>评标委员会在评标过程中发现投标人存在下列情形之一的，可认定其有串通投标行为，并做出其投标无效的决定：</w:t>
      </w:r>
    </w:p>
    <w:p w14:paraId="30AE2433">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eastAsia="zh-CN"/>
        </w:rPr>
        <w:t>）</w:t>
      </w:r>
      <w:r>
        <w:rPr>
          <w:rFonts w:ascii="宋体" w:hAnsi="宋体"/>
          <w:color w:val="auto"/>
          <w:sz w:val="24"/>
          <w:highlight w:val="none"/>
        </w:rPr>
        <w:t>不同投标人的投标文件错、漏之处一致或雷同，且不能合理解释的；</w:t>
      </w:r>
    </w:p>
    <w:p w14:paraId="1CD95014">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w:t>
      </w:r>
      <w:r>
        <w:rPr>
          <w:rFonts w:hint="eastAsia" w:ascii="宋体" w:hAnsi="宋体"/>
          <w:color w:val="auto"/>
          <w:sz w:val="24"/>
          <w:highlight w:val="none"/>
          <w:lang w:eastAsia="zh-CN"/>
        </w:rPr>
        <w:t>）</w:t>
      </w:r>
      <w:r>
        <w:rPr>
          <w:rFonts w:ascii="宋体" w:hAnsi="宋体"/>
          <w:color w:val="auto"/>
          <w:sz w:val="24"/>
          <w:highlight w:val="none"/>
        </w:rPr>
        <w:t>不同的投标人的法定代表人、委托代理人等由同一个单位缴纳社会保险的；</w:t>
      </w:r>
    </w:p>
    <w:p w14:paraId="58EF0191">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w:t>
      </w:r>
      <w:r>
        <w:rPr>
          <w:rFonts w:hint="eastAsia" w:ascii="宋体" w:hAnsi="宋体"/>
          <w:color w:val="auto"/>
          <w:sz w:val="24"/>
          <w:highlight w:val="none"/>
          <w:lang w:eastAsia="zh-CN"/>
        </w:rPr>
        <w:t>）</w:t>
      </w:r>
      <w:r>
        <w:rPr>
          <w:rFonts w:ascii="宋体" w:hAnsi="宋体"/>
          <w:color w:val="auto"/>
          <w:sz w:val="24"/>
          <w:highlight w:val="none"/>
        </w:rPr>
        <w:t>由同一人或分别由几个有利害关系人携带两个以上</w:t>
      </w:r>
      <w:r>
        <w:rPr>
          <w:rFonts w:hint="eastAsia" w:ascii="宋体" w:hAnsi="宋体"/>
          <w:color w:val="auto"/>
          <w:sz w:val="24"/>
          <w:highlight w:val="none"/>
          <w:lang w:eastAsia="zh-CN"/>
        </w:rPr>
        <w:t>（</w:t>
      </w:r>
      <w:r>
        <w:rPr>
          <w:rFonts w:ascii="宋体" w:hAnsi="宋体"/>
          <w:color w:val="auto"/>
          <w:sz w:val="24"/>
          <w:highlight w:val="none"/>
        </w:rPr>
        <w:t>含两个</w:t>
      </w:r>
      <w:r>
        <w:rPr>
          <w:rFonts w:hint="eastAsia" w:ascii="宋体" w:hAnsi="宋体"/>
          <w:color w:val="auto"/>
          <w:sz w:val="24"/>
          <w:highlight w:val="none"/>
          <w:lang w:eastAsia="zh-CN"/>
        </w:rPr>
        <w:t>）</w:t>
      </w:r>
      <w:r>
        <w:rPr>
          <w:rFonts w:ascii="宋体" w:hAnsi="宋体"/>
          <w:color w:val="auto"/>
          <w:sz w:val="24"/>
          <w:highlight w:val="none"/>
        </w:rPr>
        <w:t>投标人的企业资料参与资格审查、领取招标资料，或代表两个以上</w:t>
      </w:r>
      <w:r>
        <w:rPr>
          <w:rFonts w:hint="eastAsia" w:ascii="宋体" w:hAnsi="宋体"/>
          <w:color w:val="auto"/>
          <w:sz w:val="24"/>
          <w:highlight w:val="none"/>
          <w:lang w:eastAsia="zh-CN"/>
        </w:rPr>
        <w:t>（</w:t>
      </w:r>
      <w:r>
        <w:rPr>
          <w:rFonts w:ascii="宋体" w:hAnsi="宋体"/>
          <w:color w:val="auto"/>
          <w:sz w:val="24"/>
          <w:highlight w:val="none"/>
        </w:rPr>
        <w:t>含两个</w:t>
      </w:r>
      <w:r>
        <w:rPr>
          <w:rFonts w:hint="eastAsia" w:ascii="宋体" w:hAnsi="宋体"/>
          <w:color w:val="auto"/>
          <w:sz w:val="24"/>
          <w:highlight w:val="none"/>
          <w:lang w:eastAsia="zh-CN"/>
        </w:rPr>
        <w:t>）</w:t>
      </w:r>
      <w:r>
        <w:rPr>
          <w:rFonts w:ascii="宋体" w:hAnsi="宋体"/>
          <w:color w:val="auto"/>
          <w:sz w:val="24"/>
          <w:highlight w:val="none"/>
        </w:rPr>
        <w:t>投标人参加招标答疑会、交纳或退还投标保证金、开标的；</w:t>
      </w:r>
    </w:p>
    <w:p w14:paraId="70767028">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不同投标人的投标文件由同一单位或者个人编制。</w:t>
      </w:r>
    </w:p>
    <w:p w14:paraId="5AF13EA3">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不同投标人委托同一单位或者个人办理投标事宜。</w:t>
      </w:r>
    </w:p>
    <w:p w14:paraId="08C720B2">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不同投标人的投标文件载明的项目管理成员或者联系人员为同一人。</w:t>
      </w:r>
    </w:p>
    <w:p w14:paraId="6CA6D968">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不同投标人的投标文件异常一致或者投标报价呈规律性差异。</w:t>
      </w:r>
    </w:p>
    <w:p w14:paraId="5B4A7AA7">
      <w:pPr>
        <w:shd w:val="clear" w:color="auto" w:fill="auto"/>
        <w:spacing w:line="500" w:lineRule="exact"/>
        <w:ind w:firstLine="48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8</w:t>
      </w:r>
      <w:r>
        <w:rPr>
          <w:rFonts w:hint="eastAsia" w:ascii="宋体" w:hAnsi="宋体"/>
          <w:color w:val="auto"/>
          <w:sz w:val="24"/>
          <w:highlight w:val="none"/>
          <w:lang w:eastAsia="zh-CN"/>
        </w:rPr>
        <w:t>）</w:t>
      </w:r>
      <w:r>
        <w:rPr>
          <w:rFonts w:hint="eastAsia" w:ascii="宋体" w:hAnsi="宋体"/>
          <w:color w:val="auto"/>
          <w:sz w:val="24"/>
          <w:highlight w:val="none"/>
        </w:rPr>
        <w:t>不同投标人的投标文件相互混装。</w:t>
      </w:r>
    </w:p>
    <w:p w14:paraId="4813879B">
      <w:pPr>
        <w:widowControl/>
        <w:shd w:val="clear" w:color="auto" w:fill="auto"/>
        <w:snapToGrid w:val="0"/>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9</w:t>
      </w:r>
      <w:r>
        <w:rPr>
          <w:rFonts w:hint="eastAsia" w:ascii="宋体" w:hAnsi="宋体"/>
          <w:color w:val="auto"/>
          <w:sz w:val="24"/>
          <w:highlight w:val="none"/>
          <w:lang w:eastAsia="zh-CN"/>
        </w:rPr>
        <w:t>）</w:t>
      </w:r>
      <w:r>
        <w:rPr>
          <w:rFonts w:hint="eastAsia" w:ascii="宋体" w:hAnsi="宋体"/>
          <w:color w:val="auto"/>
          <w:sz w:val="24"/>
          <w:highlight w:val="none"/>
        </w:rPr>
        <w:t>不同投标人的投标保证金从同一单位或者个人的账户转出。</w:t>
      </w:r>
    </w:p>
    <w:p w14:paraId="118B405E">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10</w:t>
      </w:r>
      <w:r>
        <w:rPr>
          <w:rFonts w:hint="eastAsia" w:ascii="宋体" w:hAnsi="宋体"/>
          <w:color w:val="auto"/>
          <w:sz w:val="24"/>
          <w:highlight w:val="none"/>
          <w:lang w:eastAsia="zh-CN"/>
        </w:rPr>
        <w:t>）</w:t>
      </w:r>
      <w:r>
        <w:rPr>
          <w:rFonts w:ascii="宋体" w:hAnsi="宋体"/>
          <w:color w:val="auto"/>
          <w:sz w:val="24"/>
          <w:highlight w:val="none"/>
        </w:rPr>
        <w:t>有关法律、法规或规章规定的其他串通</w:t>
      </w:r>
      <w:r>
        <w:rPr>
          <w:rFonts w:hint="eastAsia" w:ascii="宋体" w:hAnsi="宋体"/>
          <w:color w:val="auto"/>
          <w:sz w:val="24"/>
          <w:highlight w:val="none"/>
        </w:rPr>
        <w:t>投标</w:t>
      </w:r>
      <w:r>
        <w:rPr>
          <w:rFonts w:ascii="宋体" w:hAnsi="宋体"/>
          <w:color w:val="auto"/>
          <w:sz w:val="24"/>
          <w:highlight w:val="none"/>
        </w:rPr>
        <w:t>行为。</w:t>
      </w:r>
    </w:p>
    <w:p w14:paraId="74DDD237">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17.7重大偏差情形，详见招标文件投标人须知17.2、17.4、17.5、17.6情形之一的。</w:t>
      </w:r>
    </w:p>
    <w:p w14:paraId="39A434F0">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17.8细微偏差情形</w:t>
      </w:r>
    </w:p>
    <w:p w14:paraId="55A68F2D">
      <w:pPr>
        <w:shd w:val="clear" w:color="auto" w:fill="auto"/>
        <w:spacing w:line="500" w:lineRule="exact"/>
        <w:ind w:firstLine="480" w:firstLineChars="200"/>
        <w:rPr>
          <w:rFonts w:ascii="宋体" w:hAnsi="宋体"/>
          <w:color w:val="auto"/>
          <w:sz w:val="24"/>
          <w:highlight w:val="none"/>
        </w:rPr>
      </w:pPr>
      <w:r>
        <w:rPr>
          <w:rFonts w:hint="eastAsia" w:ascii="宋体" w:hAnsi="宋体"/>
          <w:color w:val="auto"/>
          <w:sz w:val="24"/>
          <w:highlight w:val="none"/>
        </w:rPr>
        <w:t>17.8.1细微偏差是指投标文件在实质上响应招标文件要求，但在个别地方存在漏项或者提供了不完整的技术信息和数据等情况，并且补正或改正这些遗漏或者不完整不会对其他投标人造成不公平的结果。细微偏差不影响投标文件的有效性。</w:t>
      </w:r>
    </w:p>
    <w:p w14:paraId="65CCB6A4">
      <w:pPr>
        <w:shd w:val="clear" w:color="auto" w:fill="auto"/>
        <w:snapToGrid w:val="0"/>
        <w:spacing w:line="420" w:lineRule="exact"/>
        <w:ind w:firstLine="480" w:firstLineChars="200"/>
        <w:rPr>
          <w:rStyle w:val="44"/>
          <w:rFonts w:ascii="宋体" w:hAnsi="宋体"/>
          <w:color w:val="auto"/>
          <w:sz w:val="24"/>
          <w:szCs w:val="24"/>
          <w:highlight w:val="none"/>
        </w:rPr>
      </w:pPr>
      <w:bookmarkStart w:id="54" w:name="_Toc458102622"/>
      <w:bookmarkStart w:id="55" w:name="_Toc458102713"/>
      <w:bookmarkStart w:id="56" w:name="_Toc457478984"/>
      <w:r>
        <w:rPr>
          <w:rFonts w:hint="eastAsia" w:ascii="宋体" w:hAnsi="宋体"/>
          <w:color w:val="auto"/>
          <w:sz w:val="24"/>
          <w:highlight w:val="none"/>
        </w:rPr>
        <w:t>17.8.2评标委员会应当书面要求存在细微偏差的投标人在评标结束前予以补正。补正的程序和方法按招标文件投标人须知第18条规定执行。无法补正的，可以在评审时对细微偏差作不利于该投标人的认定。</w:t>
      </w:r>
      <w:bookmarkEnd w:id="54"/>
      <w:bookmarkEnd w:id="55"/>
      <w:bookmarkEnd w:id="56"/>
    </w:p>
    <w:p w14:paraId="77F171A9">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18.投标文件的澄清 </w:t>
      </w:r>
    </w:p>
    <w:p w14:paraId="72EA1171">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10C0F293">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19.比较与评价</w:t>
      </w:r>
    </w:p>
    <w:p w14:paraId="3AECCDC0">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 xml:space="preserve">    19.1评标委员会将按投标人须知前附表第</w:t>
      </w:r>
      <w:r>
        <w:rPr>
          <w:rStyle w:val="44"/>
          <w:rFonts w:hint="eastAsia" w:ascii="宋体" w:hAnsi="宋体"/>
          <w:color w:val="auto"/>
          <w:sz w:val="24"/>
          <w:szCs w:val="24"/>
          <w:highlight w:val="none"/>
        </w:rPr>
        <w:t>8</w:t>
      </w:r>
      <w:r>
        <w:rPr>
          <w:rStyle w:val="44"/>
          <w:rFonts w:ascii="宋体" w:hAnsi="宋体"/>
          <w:color w:val="auto"/>
          <w:sz w:val="24"/>
          <w:szCs w:val="24"/>
          <w:highlight w:val="none"/>
        </w:rPr>
        <w:t>项所述评标方法与标准，对资格性检查和符合性检查合格的投标文件进行商务和技术评估，综合比较与评价。</w:t>
      </w:r>
    </w:p>
    <w:p w14:paraId="58A38EF5">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19.2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6C63E8E3">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19.3评标委员会将按比较与评价最优在先原则, 排列评价顺序, 根据在投标人须知前附表中确定的中标候选人数量推荐出中标候选人。</w:t>
      </w:r>
    </w:p>
    <w:p w14:paraId="66CAEFA0">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19.4 在评标期间，若出现符合本须知规定的所有投标条件的投标人不足三家情形的，本次招标程序终止，除招标任务取消情形外，招标单位将依法重新组织招标或者采取其他方式招标。</w:t>
      </w:r>
    </w:p>
    <w:p w14:paraId="00F55176">
      <w:pPr>
        <w:shd w:val="clear" w:color="auto" w:fill="auto"/>
        <w:snapToGrid w:val="0"/>
        <w:spacing w:line="450" w:lineRule="exact"/>
        <w:rPr>
          <w:rStyle w:val="44"/>
          <w:rFonts w:ascii="宋体" w:hAnsi="宋体"/>
          <w:color w:val="auto"/>
          <w:sz w:val="24"/>
          <w:szCs w:val="24"/>
          <w:highlight w:val="none"/>
        </w:rPr>
      </w:pPr>
    </w:p>
    <w:p w14:paraId="6394E0CB">
      <w:pPr>
        <w:pStyle w:val="4"/>
        <w:shd w:val="clear" w:color="auto" w:fill="auto"/>
        <w:bidi w:val="0"/>
        <w:rPr>
          <w:color w:val="auto"/>
          <w:highlight w:val="none"/>
        </w:rPr>
      </w:pPr>
      <w:r>
        <w:rPr>
          <w:color w:val="auto"/>
          <w:highlight w:val="none"/>
        </w:rPr>
        <w:br w:type="page"/>
      </w:r>
      <w:bookmarkStart w:id="57" w:name="_Toc6203"/>
      <w:r>
        <w:rPr>
          <w:color w:val="auto"/>
          <w:highlight w:val="none"/>
        </w:rPr>
        <w:t>六、定标与签订合同</w:t>
      </w:r>
      <w:bookmarkEnd w:id="57"/>
    </w:p>
    <w:p w14:paraId="5E51B8AB">
      <w:pPr>
        <w:shd w:val="clear" w:color="auto" w:fill="auto"/>
        <w:snapToGrid w:val="0"/>
        <w:spacing w:line="420" w:lineRule="exact"/>
        <w:rPr>
          <w:rStyle w:val="44"/>
          <w:rFonts w:ascii="宋体" w:hAnsi="宋体"/>
          <w:color w:val="auto"/>
          <w:sz w:val="24"/>
          <w:szCs w:val="24"/>
          <w:highlight w:val="none"/>
        </w:rPr>
      </w:pPr>
    </w:p>
    <w:p w14:paraId="3FA3CE08">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20.定标准则</w:t>
      </w:r>
    </w:p>
    <w:p w14:paraId="629BE340">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20.1</w:t>
      </w:r>
      <w:r>
        <w:rPr>
          <w:rStyle w:val="44"/>
          <w:rFonts w:hint="eastAsia" w:ascii="宋体" w:hAnsi="宋体"/>
          <w:color w:val="auto"/>
          <w:sz w:val="24"/>
          <w:szCs w:val="24"/>
          <w:highlight w:val="none"/>
          <w:lang w:eastAsia="zh-CN"/>
        </w:rPr>
        <w:t>最低</w:t>
      </w:r>
      <w:r>
        <w:rPr>
          <w:rStyle w:val="44"/>
          <w:rFonts w:ascii="宋体" w:hAnsi="宋体"/>
          <w:color w:val="auto"/>
          <w:sz w:val="24"/>
          <w:szCs w:val="24"/>
          <w:highlight w:val="none"/>
        </w:rPr>
        <w:t>投标价不作为中标的保证。</w:t>
      </w:r>
    </w:p>
    <w:p w14:paraId="25A282AD">
      <w:pPr>
        <w:shd w:val="clear" w:color="auto" w:fill="auto"/>
        <w:snapToGrid w:val="0"/>
        <w:spacing w:line="42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 xml:space="preserve"> 20.2投标人的投标文件符合招标文件要求，按招标文件确定评标标准、方法，经评委评审并推荐中标候选人。</w:t>
      </w:r>
    </w:p>
    <w:p w14:paraId="26DADC16">
      <w:pPr>
        <w:shd w:val="clear" w:color="auto" w:fill="auto"/>
        <w:snapToGrid w:val="0"/>
        <w:spacing w:line="420" w:lineRule="exact"/>
        <w:ind w:firstLine="361" w:firstLineChars="150"/>
        <w:rPr>
          <w:rStyle w:val="44"/>
          <w:rFonts w:ascii="宋体" w:hAnsi="宋体"/>
          <w:b/>
          <w:color w:val="auto"/>
          <w:sz w:val="24"/>
          <w:szCs w:val="24"/>
          <w:highlight w:val="none"/>
        </w:rPr>
      </w:pPr>
      <w:r>
        <w:rPr>
          <w:rStyle w:val="44"/>
          <w:rFonts w:ascii="宋体" w:hAnsi="宋体"/>
          <w:b/>
          <w:color w:val="auto"/>
          <w:sz w:val="24"/>
          <w:szCs w:val="24"/>
          <w:highlight w:val="none"/>
        </w:rPr>
        <w:t>20.3招标人可在签订合同前对中标候选人提供的证明自身履约能力的材料的真实性进行复核，如果中标候选人提供虚假材料谋取中标，一经查实，招标人有权取消其中标资格并追究相关责任。</w:t>
      </w:r>
    </w:p>
    <w:p w14:paraId="49A6224E">
      <w:pPr>
        <w:shd w:val="clear" w:color="auto" w:fill="auto"/>
        <w:snapToGrid w:val="0"/>
        <w:spacing w:line="420" w:lineRule="exact"/>
        <w:rPr>
          <w:rStyle w:val="44"/>
          <w:rFonts w:ascii="宋体" w:hAnsi="宋体"/>
          <w:color w:val="auto"/>
          <w:sz w:val="24"/>
          <w:szCs w:val="24"/>
          <w:highlight w:val="none"/>
        </w:rPr>
      </w:pPr>
      <w:r>
        <w:rPr>
          <w:rStyle w:val="44"/>
          <w:rFonts w:ascii="宋体" w:hAnsi="宋体"/>
          <w:color w:val="auto"/>
          <w:sz w:val="24"/>
          <w:szCs w:val="24"/>
          <w:highlight w:val="none"/>
        </w:rPr>
        <w:t>21.中标通知</w:t>
      </w:r>
    </w:p>
    <w:p w14:paraId="5619527F">
      <w:pPr>
        <w:shd w:val="clear" w:color="auto" w:fill="auto"/>
        <w:snapToGrid w:val="0"/>
        <w:spacing w:line="440" w:lineRule="exact"/>
        <w:ind w:firstLine="480" w:firstLineChars="200"/>
        <w:jc w:val="left"/>
        <w:rPr>
          <w:rStyle w:val="44"/>
          <w:rFonts w:ascii="宋体" w:hAnsi="宋体"/>
          <w:color w:val="auto"/>
          <w:sz w:val="24"/>
          <w:szCs w:val="24"/>
          <w:highlight w:val="none"/>
        </w:rPr>
      </w:pPr>
      <w:r>
        <w:rPr>
          <w:rStyle w:val="44"/>
          <w:rFonts w:ascii="宋体" w:hAnsi="宋体"/>
          <w:color w:val="auto"/>
          <w:sz w:val="24"/>
          <w:szCs w:val="24"/>
          <w:highlight w:val="none"/>
        </w:rPr>
        <w:t>21.1评标结束后，评标结果经招标人确认后，招标代理机构应在刊登本采购项目招标公告的媒介上对中标结果进行公示，招标代理机构向中标人发出中标通知书。中标通知书对招标人和中标人具有同等法律效力。</w:t>
      </w:r>
    </w:p>
    <w:p w14:paraId="166AC289">
      <w:pPr>
        <w:shd w:val="clear" w:color="auto" w:fill="auto"/>
        <w:snapToGrid w:val="0"/>
        <w:spacing w:line="440" w:lineRule="exact"/>
        <w:ind w:firstLine="480" w:firstLineChars="200"/>
        <w:jc w:val="left"/>
        <w:rPr>
          <w:rStyle w:val="44"/>
          <w:rFonts w:ascii="宋体" w:hAnsi="宋体"/>
          <w:color w:val="auto"/>
          <w:sz w:val="24"/>
          <w:szCs w:val="24"/>
          <w:highlight w:val="none"/>
        </w:rPr>
      </w:pPr>
      <w:r>
        <w:rPr>
          <w:rStyle w:val="44"/>
          <w:rFonts w:ascii="宋体" w:hAnsi="宋体"/>
          <w:color w:val="auto"/>
          <w:sz w:val="24"/>
          <w:szCs w:val="24"/>
          <w:highlight w:val="none"/>
        </w:rPr>
        <w:t>21.2《中标通知书》发出同时应将落标书面通知没有中标的其它投标人。</w:t>
      </w:r>
    </w:p>
    <w:p w14:paraId="7D43B260">
      <w:pPr>
        <w:shd w:val="clear" w:color="auto" w:fill="auto"/>
        <w:snapToGrid w:val="0"/>
        <w:spacing w:line="440" w:lineRule="exact"/>
        <w:ind w:firstLine="480" w:firstLineChars="200"/>
        <w:jc w:val="left"/>
        <w:rPr>
          <w:rStyle w:val="44"/>
          <w:rFonts w:ascii="宋体" w:hAnsi="宋体"/>
          <w:color w:val="auto"/>
          <w:sz w:val="24"/>
          <w:szCs w:val="24"/>
          <w:highlight w:val="none"/>
        </w:rPr>
      </w:pPr>
      <w:r>
        <w:rPr>
          <w:rStyle w:val="44"/>
          <w:rFonts w:ascii="宋体" w:hAnsi="宋体"/>
          <w:color w:val="auto"/>
          <w:sz w:val="24"/>
          <w:szCs w:val="24"/>
          <w:highlight w:val="none"/>
        </w:rPr>
        <w:t xml:space="preserve">21.3中标通知书发出后，招标人改变中标结果，或者中标人放弃中标，应按相关法律、规章、规范性文件的要求承担相应的法律责任。投标人对中标候选人公示有异议的，应当在中标候选人公示期内以书面形式向招标人或招标代理机构提出质疑。否则视为无异议。         </w:t>
      </w:r>
    </w:p>
    <w:p w14:paraId="5D51E9E5">
      <w:pPr>
        <w:shd w:val="clear" w:color="auto" w:fill="auto"/>
        <w:snapToGrid w:val="0"/>
        <w:spacing w:line="420" w:lineRule="exact"/>
        <w:rPr>
          <w:rStyle w:val="44"/>
          <w:rFonts w:ascii="宋体" w:hAnsi="宋体"/>
          <w:color w:val="auto"/>
          <w:sz w:val="24"/>
          <w:szCs w:val="24"/>
          <w:highlight w:val="none"/>
        </w:rPr>
      </w:pPr>
      <w:r>
        <w:rPr>
          <w:rStyle w:val="44"/>
          <w:rFonts w:ascii="宋体" w:hAnsi="宋体" w:cs="宋体"/>
          <w:bCs/>
          <w:color w:val="auto"/>
          <w:sz w:val="24"/>
          <w:szCs w:val="24"/>
          <w:highlight w:val="none"/>
        </w:rPr>
        <w:t>22</w:t>
      </w:r>
      <w:r>
        <w:rPr>
          <w:rStyle w:val="44"/>
          <w:rFonts w:ascii="宋体" w:hAnsi="宋体"/>
          <w:color w:val="auto"/>
          <w:sz w:val="24"/>
          <w:szCs w:val="24"/>
          <w:highlight w:val="none"/>
        </w:rPr>
        <w:t>.签订合同</w:t>
      </w:r>
    </w:p>
    <w:p w14:paraId="5AA4B3C8">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22.1招标人、中标人在《中标通知书》发出之日</w:t>
      </w:r>
      <w:r>
        <w:rPr>
          <w:rStyle w:val="44"/>
          <w:rFonts w:hint="eastAsia" w:ascii="宋体" w:hAnsi="宋体"/>
          <w:color w:val="auto"/>
          <w:sz w:val="24"/>
          <w:szCs w:val="24"/>
          <w:highlight w:val="none"/>
          <w:lang w:val="en-US" w:eastAsia="zh-CN"/>
        </w:rPr>
        <w:t>30</w:t>
      </w:r>
      <w:r>
        <w:rPr>
          <w:rStyle w:val="44"/>
          <w:rFonts w:ascii="宋体" w:hAnsi="宋体"/>
          <w:color w:val="auto"/>
          <w:sz w:val="24"/>
          <w:szCs w:val="24"/>
          <w:highlight w:val="none"/>
        </w:rPr>
        <w:t>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招标保证金，以抵偿对招标人造成的损失。</w:t>
      </w:r>
    </w:p>
    <w:p w14:paraId="05B0B2E4">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22.2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14:paraId="5A386C4C">
      <w:pPr>
        <w:shd w:val="clear" w:color="auto" w:fill="auto"/>
        <w:snapToGrid w:val="0"/>
        <w:spacing w:line="42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23.招标项目</w:t>
      </w:r>
      <w:r>
        <w:rPr>
          <w:rStyle w:val="44"/>
          <w:rFonts w:hint="eastAsia" w:ascii="宋体" w:hAnsi="宋体"/>
          <w:color w:val="auto"/>
          <w:sz w:val="24"/>
          <w:szCs w:val="24"/>
          <w:highlight w:val="none"/>
          <w:lang w:eastAsia="zh-CN"/>
        </w:rPr>
        <w:t>监督部门</w:t>
      </w:r>
    </w:p>
    <w:p w14:paraId="7521A06B">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23.1招标项目</w:t>
      </w:r>
      <w:r>
        <w:rPr>
          <w:rStyle w:val="44"/>
          <w:rFonts w:hint="eastAsia" w:ascii="宋体" w:hAnsi="宋体"/>
          <w:color w:val="auto"/>
          <w:sz w:val="24"/>
          <w:szCs w:val="24"/>
          <w:highlight w:val="none"/>
          <w:lang w:eastAsia="zh-CN"/>
        </w:rPr>
        <w:t>监督部门</w:t>
      </w:r>
      <w:r>
        <w:rPr>
          <w:rStyle w:val="44"/>
          <w:rFonts w:ascii="宋体" w:hAnsi="宋体"/>
          <w:color w:val="auto"/>
          <w:sz w:val="24"/>
          <w:szCs w:val="24"/>
          <w:highlight w:val="none"/>
        </w:rPr>
        <w:t>可视情依法派员对本招标活动的全程进行监督。</w:t>
      </w:r>
    </w:p>
    <w:p w14:paraId="6D4AB088">
      <w:pPr>
        <w:shd w:val="clear" w:color="auto" w:fill="auto"/>
        <w:snapToGrid w:val="0"/>
        <w:spacing w:line="42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23.2投标人如对招标活动有异议，可以按照有关规定向投标须知前附表第</w:t>
      </w:r>
      <w:r>
        <w:rPr>
          <w:rStyle w:val="44"/>
          <w:rFonts w:hint="eastAsia" w:ascii="宋体" w:hAnsi="宋体"/>
          <w:color w:val="auto"/>
          <w:sz w:val="24"/>
          <w:szCs w:val="24"/>
          <w:highlight w:val="none"/>
          <w:lang w:val="en-US" w:eastAsia="zh-CN"/>
        </w:rPr>
        <w:t>9</w:t>
      </w:r>
      <w:r>
        <w:rPr>
          <w:rStyle w:val="44"/>
          <w:rFonts w:ascii="宋体" w:hAnsi="宋体"/>
          <w:color w:val="auto"/>
          <w:sz w:val="24"/>
          <w:szCs w:val="24"/>
          <w:highlight w:val="none"/>
        </w:rPr>
        <w:t>项所述招标项目</w:t>
      </w:r>
      <w:r>
        <w:rPr>
          <w:rStyle w:val="44"/>
          <w:rFonts w:hint="eastAsia" w:ascii="宋体" w:hAnsi="宋体"/>
          <w:color w:val="auto"/>
          <w:sz w:val="24"/>
          <w:szCs w:val="24"/>
          <w:highlight w:val="none"/>
          <w:lang w:eastAsia="zh-CN"/>
        </w:rPr>
        <w:t>监督部门</w:t>
      </w:r>
      <w:r>
        <w:rPr>
          <w:rStyle w:val="44"/>
          <w:rFonts w:ascii="宋体" w:hAnsi="宋体"/>
          <w:color w:val="auto"/>
          <w:sz w:val="24"/>
          <w:szCs w:val="24"/>
          <w:highlight w:val="none"/>
        </w:rPr>
        <w:t>投诉。</w:t>
      </w:r>
    </w:p>
    <w:p w14:paraId="1A511F92">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24. 中标人应按投标人须知前附表中的规定缴纳招标服务费。</w:t>
      </w:r>
    </w:p>
    <w:p w14:paraId="2331237C">
      <w:pPr>
        <w:shd w:val="clear" w:color="auto" w:fill="auto"/>
        <w:bidi w:val="0"/>
        <w:rPr>
          <w:color w:val="auto"/>
          <w:highlight w:val="none"/>
        </w:rPr>
      </w:pPr>
    </w:p>
    <w:p w14:paraId="4B7A1830">
      <w:pPr>
        <w:pStyle w:val="3"/>
        <w:shd w:val="clear" w:color="auto" w:fill="auto"/>
        <w:bidi w:val="0"/>
        <w:rPr>
          <w:color w:val="auto"/>
          <w:highlight w:val="none"/>
        </w:rPr>
      </w:pPr>
      <w:bookmarkStart w:id="58" w:name="_Toc28911"/>
      <w:r>
        <w:rPr>
          <w:color w:val="auto"/>
          <w:highlight w:val="none"/>
        </w:rPr>
        <w:t>第三章  招标内容及要求</w:t>
      </w:r>
      <w:bookmarkEnd w:id="58"/>
    </w:p>
    <w:p w14:paraId="64697540">
      <w:pPr>
        <w:pStyle w:val="4"/>
        <w:shd w:val="clear" w:color="auto" w:fill="auto"/>
        <w:bidi w:val="0"/>
        <w:jc w:val="left"/>
        <w:rPr>
          <w:rFonts w:hint="eastAsia"/>
          <w:b/>
          <w:bCs/>
          <w:color w:val="auto"/>
          <w:highlight w:val="none"/>
        </w:rPr>
      </w:pPr>
      <w:bookmarkStart w:id="59" w:name="_Toc4599"/>
      <w:r>
        <w:rPr>
          <w:rFonts w:hint="eastAsia"/>
          <w:b/>
          <w:bCs/>
          <w:color w:val="auto"/>
          <w:highlight w:val="none"/>
        </w:rPr>
        <w:t>一、项目概况</w:t>
      </w:r>
      <w:bookmarkEnd w:id="59"/>
    </w:p>
    <w:p w14:paraId="773E0BD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统筹推进景弘集团人事管理系统建设，结合工作实际，与现行监狱管理法律、法规、制度相匹配，确保可操作性和实用性。建设的人事管理系统不仅是人事管理工具的打造，更是管理理念的革新，在提升管理效率与公平性的同时，为队伍的专业化、规范化、现代化建设提供持续动力，为集团带来更高效、更智能、更具战略价值的人力资源管理，助力集团实现可持续发展。最终实现从“事务性管理”向“战略性人力资源开发”的转型，为人事现代化管理提供有力支撑。</w:t>
      </w:r>
    </w:p>
    <w:p w14:paraId="59F71BD7">
      <w:pPr>
        <w:widowControl/>
        <w:spacing w:before="75"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系统主要建设内容为领导干部综合管理、年轻干部管理、干部选拔规范化全流程管理、政治素质考察、平时考核、年度考核、录用管理、调配管理、因私出入境管理、学历学位更改、考勤管理、离退休管理、报送材料管理、效能管理工作台等14个功能模块和1个移动端应用。</w:t>
      </w:r>
      <w:r>
        <w:rPr>
          <w:rFonts w:hint="eastAsia" w:ascii="宋体" w:hAnsi="宋体" w:eastAsia="宋体" w:cs="Times New Roman"/>
          <w:color w:val="auto"/>
          <w:sz w:val="24"/>
          <w:szCs w:val="24"/>
          <w:highlight w:val="none"/>
          <w:lang w:val="en-US" w:eastAsia="zh-CN"/>
        </w:rPr>
        <w:t>同时，与</w:t>
      </w:r>
      <w:r>
        <w:rPr>
          <w:rFonts w:hint="eastAsia" w:ascii="宋体" w:hAnsi="宋体"/>
          <w:color w:val="auto"/>
          <w:sz w:val="24"/>
          <w:szCs w:val="24"/>
          <w:highlight w:val="none"/>
          <w:lang w:val="en-US" w:eastAsia="zh-CN"/>
        </w:rPr>
        <w:t>中组部</w:t>
      </w:r>
      <w:r>
        <w:rPr>
          <w:rFonts w:hint="eastAsia" w:ascii="宋体" w:hAnsi="宋体" w:eastAsia="宋体" w:cs="Times New Roman"/>
          <w:color w:val="auto"/>
          <w:sz w:val="24"/>
          <w:szCs w:val="24"/>
          <w:highlight w:val="none"/>
          <w:lang w:val="en-US" w:eastAsia="zh-CN"/>
        </w:rPr>
        <w:t>全国公务员管理信息系统、福建省委组织部的干部系统、福建省委组织部的领导干部考核系统无缝对接，实现标准数据的导入导出。</w:t>
      </w:r>
    </w:p>
    <w:p w14:paraId="43B29DA3">
      <w:pPr>
        <w:spacing w:line="440" w:lineRule="exact"/>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u w:val="none"/>
          <w:lang w:val="en-US" w:eastAsia="zh-CN"/>
        </w:rPr>
        <w:t>3、投标人应</w:t>
      </w:r>
      <w:r>
        <w:rPr>
          <w:rFonts w:hint="eastAsia"/>
          <w:b/>
          <w:bCs/>
          <w:color w:val="auto"/>
          <w:sz w:val="24"/>
          <w:szCs w:val="24"/>
          <w:highlight w:val="none"/>
          <w:lang w:eastAsia="zh-CN"/>
        </w:rPr>
        <w:t>根据“</w:t>
      </w:r>
      <w:r>
        <w:rPr>
          <w:rFonts w:hint="eastAsia" w:ascii="宋体" w:hAnsi="宋体" w:eastAsia="宋体" w:cs="Times New Roman"/>
          <w:b/>
          <w:bCs/>
          <w:color w:val="auto"/>
          <w:sz w:val="24"/>
          <w:szCs w:val="24"/>
          <w:highlight w:val="none"/>
          <w:u w:val="none"/>
          <w:lang w:val="en-US" w:eastAsia="zh-CN"/>
        </w:rPr>
        <w:t>景弘集团人事管理系统技术规范书</w:t>
      </w:r>
      <w:r>
        <w:rPr>
          <w:rFonts w:hint="eastAsia"/>
          <w:b/>
          <w:bCs/>
          <w:color w:val="auto"/>
          <w:sz w:val="24"/>
          <w:szCs w:val="24"/>
          <w:highlight w:val="none"/>
          <w:lang w:eastAsia="zh-CN"/>
        </w:rPr>
        <w:t>”开发软件功能，详见</w:t>
      </w:r>
      <w:r>
        <w:rPr>
          <w:rFonts w:hint="eastAsia" w:ascii="宋体" w:hAnsi="宋体" w:eastAsia="宋体" w:cs="Times New Roman"/>
          <w:b/>
          <w:bCs/>
          <w:color w:val="auto"/>
          <w:sz w:val="24"/>
          <w:szCs w:val="24"/>
          <w:highlight w:val="none"/>
          <w:u w:val="none"/>
          <w:lang w:val="en-US" w:eastAsia="zh-CN"/>
        </w:rPr>
        <w:t>招标文件附件“景弘集团人事管理系统技术规范书”。</w:t>
      </w:r>
    </w:p>
    <w:p w14:paraId="52E43F5D">
      <w:pPr>
        <w:pStyle w:val="7"/>
        <w:rPr>
          <w:rFonts w:hint="eastAsia"/>
          <w:color w:val="auto"/>
          <w:highlight w:val="none"/>
          <w:lang w:val="en-US" w:eastAsia="zh-CN"/>
        </w:rPr>
      </w:pPr>
    </w:p>
    <w:p w14:paraId="73E71DC7">
      <w:pPr>
        <w:pStyle w:val="4"/>
        <w:shd w:val="clear" w:color="auto" w:fill="auto"/>
        <w:jc w:val="left"/>
        <w:rPr>
          <w:rFonts w:hint="eastAsia" w:ascii="宋体" w:hAnsi="宋体" w:eastAsia="宋体" w:cs="宋体"/>
          <w:b/>
          <w:bCs/>
          <w:color w:val="auto"/>
          <w:sz w:val="24"/>
          <w:szCs w:val="24"/>
          <w:highlight w:val="none"/>
        </w:rPr>
      </w:pPr>
      <w:bookmarkStart w:id="60" w:name="_Toc19748"/>
      <w:r>
        <w:rPr>
          <w:rFonts w:hint="eastAsia"/>
          <w:b/>
          <w:bCs/>
          <w:color w:val="auto"/>
          <w:highlight w:val="none"/>
        </w:rPr>
        <w:t>二、技术要求（</w:t>
      </w:r>
      <w:r>
        <w:rPr>
          <w:rFonts w:hint="eastAsia"/>
          <w:b/>
          <w:bCs/>
          <w:color w:val="auto"/>
          <w:highlight w:val="none"/>
          <w:lang w:eastAsia="zh-CN"/>
        </w:rPr>
        <w:t>以“</w:t>
      </w:r>
      <w:r>
        <w:rPr>
          <w:rFonts w:hint="eastAsia" w:ascii="宋体" w:hAnsi="宋体" w:eastAsia="宋体" w:cs="宋体"/>
          <w:b/>
          <w:bCs/>
          <w:color w:val="auto"/>
          <w:highlight w:val="none"/>
          <w:lang w:eastAsia="zh-CN"/>
        </w:rPr>
        <w:t>★</w:t>
      </w:r>
      <w:r>
        <w:rPr>
          <w:rFonts w:hint="eastAsia"/>
          <w:b/>
          <w:bCs/>
          <w:color w:val="auto"/>
          <w:highlight w:val="none"/>
          <w:lang w:eastAsia="zh-CN"/>
        </w:rPr>
        <w:t>”标示的内容</w:t>
      </w:r>
      <w:r>
        <w:rPr>
          <w:rFonts w:hint="eastAsia"/>
          <w:b/>
          <w:bCs/>
          <w:color w:val="auto"/>
          <w:highlight w:val="none"/>
        </w:rPr>
        <w:t>为不允许负偏离的实质性要求）</w:t>
      </w:r>
      <w:bookmarkEnd w:id="60"/>
    </w:p>
    <w:p w14:paraId="37C62E6F">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bCs/>
          <w:color w:val="auto"/>
          <w:kern w:val="0"/>
          <w:sz w:val="30"/>
          <w:szCs w:val="30"/>
          <w:highlight w:val="none"/>
          <w:lang w:eastAsia="zh-CN"/>
        </w:rPr>
      </w:pPr>
      <w:bookmarkStart w:id="61" w:name="_Toc8642"/>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以下所有技术要求均为不允许负偏离的实质性要求</w:t>
      </w:r>
      <w:bookmarkEnd w:id="61"/>
    </w:p>
    <w:p w14:paraId="4FADC8F7">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b/>
          <w:bCs/>
          <w:color w:val="auto"/>
          <w:highlight w:val="none"/>
        </w:rPr>
      </w:pPr>
      <w:bookmarkStart w:id="62" w:name="_Toc11944"/>
      <w:r>
        <w:rPr>
          <w:rFonts w:hint="eastAsia" w:ascii="Times New Roman" w:hAnsi="Times New Roman" w:eastAsia="宋体" w:cs="Times New Roman"/>
          <w:b/>
          <w:bCs/>
          <w:color w:val="auto"/>
          <w:kern w:val="44"/>
          <w:sz w:val="30"/>
          <w:szCs w:val="32"/>
          <w:highlight w:val="none"/>
          <w:lang w:val="en-US" w:eastAsia="zh-CN" w:bidi="ar-SA"/>
        </w:rPr>
        <w:t>（一）</w:t>
      </w:r>
      <w:r>
        <w:rPr>
          <w:b/>
          <w:bCs/>
          <w:color w:val="auto"/>
          <w:highlight w:val="none"/>
        </w:rPr>
        <w:t>建设目标</w:t>
      </w:r>
      <w:bookmarkEnd w:id="62"/>
    </w:p>
    <w:p w14:paraId="3CC9DD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紧围绕以问题为导向、以需求为牵引的原则，坚持以统一规划、统一标准、统一管理、充分利用的总体布局，立足新发展阶段、贯彻新发展理念、构建新发展格局，统筹运用数字化技术、数字化思维、数字化认知，以数字化、智能化技术为支撑，打造“全程留痕、动态管理”的人事管理系统，构建精准、规范、高效的现代化管理体系，推动人事管理工作从“经验驱动”向“数据赋能”的深刻变革。</w:t>
      </w:r>
      <w:r>
        <w:rPr>
          <w:rFonts w:hint="eastAsia" w:ascii="宋体" w:hAnsi="宋体" w:eastAsia="宋体" w:cs="宋体"/>
          <w:b/>
          <w:bCs/>
          <w:color w:val="auto"/>
          <w:sz w:val="24"/>
          <w:szCs w:val="24"/>
          <w:highlight w:val="none"/>
          <w:lang w:val="en-US" w:eastAsia="zh-CN"/>
        </w:rPr>
        <w:t>本次建设依托景弘集团人事信息库为基础，进行景弘集团人事管理系统各业务应用模块建设。</w:t>
      </w:r>
      <w:r>
        <w:rPr>
          <w:rFonts w:hint="eastAsia" w:ascii="宋体" w:hAnsi="宋体" w:eastAsia="宋体" w:cs="宋体"/>
          <w:color w:val="auto"/>
          <w:sz w:val="24"/>
          <w:szCs w:val="24"/>
          <w:highlight w:val="none"/>
          <w:lang w:val="en-US" w:eastAsia="zh-CN"/>
        </w:rPr>
        <w:t>具体建设目标如下：</w:t>
      </w:r>
    </w:p>
    <w:p w14:paraId="366BE6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1、实现人事管理全流程数字化</w:t>
      </w:r>
    </w:p>
    <w:p w14:paraId="15EBDE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将员工选拔任用、考核、调配等主要人事管理流程进行数字化改造，替代传统纸质化、人工化的操作方式。通过系统自动处理数据采集、存储、分析与审批流程，减少人为干预和手工操作带来的错误，提升管理效率与数据准确性，例如将原本需要数天的人事工作结果统计周期缩短至数小时，实现人员信息实时更新与查询。</w:t>
      </w:r>
    </w:p>
    <w:p w14:paraId="49CD31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2、促进数据共享与协同办公</w:t>
      </w:r>
    </w:p>
    <w:p w14:paraId="21E2B7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合分散在各部门或各系统的人事相关数据，消除信息孤岛，建立统一的人事管理工作台。实现数据在不同部门、子公司或不同系统之间的共享与交互，支持跨域协同办公，例如在员工薪资调整时，人事部门的职级变动信息可自动同步至财务部门，减少重复录入和沟通成本，提升整体工作效率。</w:t>
      </w:r>
    </w:p>
    <w:p w14:paraId="726625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3、提升人事决策的科学性</w:t>
      </w:r>
    </w:p>
    <w:p w14:paraId="38B02A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大数据分析、人工智能等技术，对人事数据进行深度挖掘与分析，为管理决策提供数据支撑。例如，通过分析人员的考核信息、培训记录、工作经历等数据，预测人才发展潜力，辅助制定科学合理的人员晋升、岗位调配、培训规划等决策，优化人力资源配置，打造高素质、专业化的人才队伍。</w:t>
      </w:r>
    </w:p>
    <w:p w14:paraId="4A8BA1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4、加强风险防控与廉政建设</w:t>
      </w:r>
    </w:p>
    <w:p w14:paraId="0A457F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系统规范人事管理流程，设置明确的操作权限和审批层级，实现业务流程的全程留痕与追溯。对关键环节（如考核、晋升、奖惩等）进行实时监控与预警，减少人为因素导致的管理漏洞和廉政风险，确保人事管理工作的公平、公正、公开，增强人事管理的透明度与公信力。</w:t>
      </w:r>
    </w:p>
    <w:p w14:paraId="3A44E325">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b/>
          <w:bCs/>
          <w:color w:val="auto"/>
          <w:highlight w:val="none"/>
        </w:rPr>
      </w:pPr>
      <w:bookmarkStart w:id="63" w:name="_Toc20518"/>
      <w:r>
        <w:rPr>
          <w:rFonts w:hint="eastAsia" w:ascii="Times New Roman" w:hAnsi="Times New Roman" w:eastAsia="宋体" w:cs="Times New Roman"/>
          <w:b/>
          <w:bCs/>
          <w:color w:val="auto"/>
          <w:kern w:val="44"/>
          <w:sz w:val="30"/>
          <w:szCs w:val="32"/>
          <w:highlight w:val="none"/>
          <w:lang w:val="en-US" w:eastAsia="zh-CN" w:bidi="ar-SA"/>
        </w:rPr>
        <w:t>（二）</w:t>
      </w:r>
      <w:r>
        <w:rPr>
          <w:rFonts w:hint="eastAsia"/>
          <w:b/>
          <w:bCs/>
          <w:color w:val="auto"/>
          <w:highlight w:val="none"/>
          <w:lang w:val="en-US" w:eastAsia="zh-CN"/>
        </w:rPr>
        <w:t>功能要求</w:t>
      </w:r>
      <w:bookmarkEnd w:id="63"/>
    </w:p>
    <w:p w14:paraId="56E14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本次建设的人事管理系统，是在现有</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架构基础上，实施系统应用功能开发与扩展。在保持一期系统核心架构稳定性的前提下，实现新业务功能模块的集成开发，确保全系统技术架构的统一性与可扩展性。本次升级将重点开发14个业务模块和1个移动端应用，分别是领导干部综合管理、年轻干部管理、干部选拔规范化全流程管理、政治素质考察、平时考核、年度考核、录用管理、调配管理、因私出入境管理、学历学位更改、考勤管理、离退休管理、报送材料管理、效能管理工作台、移动端应用。</w:t>
      </w:r>
      <w:r>
        <w:rPr>
          <w:rFonts w:hint="eastAsia" w:ascii="宋体" w:hAnsi="宋体" w:eastAsia="宋体" w:cs="Times New Roman"/>
          <w:color w:val="auto"/>
          <w:sz w:val="24"/>
          <w:szCs w:val="24"/>
          <w:highlight w:val="none"/>
          <w:lang w:val="en-US" w:eastAsia="zh-CN"/>
        </w:rPr>
        <w:t>实现与</w:t>
      </w:r>
      <w:r>
        <w:rPr>
          <w:rFonts w:hint="eastAsia" w:ascii="宋体" w:hAnsi="宋体"/>
          <w:color w:val="auto"/>
          <w:sz w:val="24"/>
          <w:szCs w:val="24"/>
          <w:highlight w:val="none"/>
          <w:lang w:val="en-US" w:eastAsia="zh-CN"/>
        </w:rPr>
        <w:t>中组部</w:t>
      </w:r>
      <w:r>
        <w:rPr>
          <w:rFonts w:hint="eastAsia" w:ascii="宋体" w:hAnsi="宋体" w:eastAsia="宋体" w:cs="Times New Roman"/>
          <w:color w:val="auto"/>
          <w:sz w:val="24"/>
          <w:szCs w:val="24"/>
          <w:highlight w:val="none"/>
          <w:lang w:val="en-US" w:eastAsia="zh-CN"/>
        </w:rPr>
        <w:t>全国公务员管理信息系统、福建省委组织部的干部系统、福建省委组织部的领导干部考核系统无缝对接，支持标准数据的导入导出。</w:t>
      </w:r>
      <w:r>
        <w:rPr>
          <w:rFonts w:hint="eastAsia" w:ascii="宋体" w:hAnsi="宋体" w:eastAsia="宋体" w:cs="宋体"/>
          <w:color w:val="auto"/>
          <w:sz w:val="24"/>
          <w:szCs w:val="24"/>
          <w:highlight w:val="none"/>
          <w:lang w:val="en-US" w:eastAsia="zh-CN"/>
        </w:rPr>
        <w:t>建设内容如下：</w:t>
      </w:r>
    </w:p>
    <w:p w14:paraId="0257EFE0">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4" w:name="_Toc6599"/>
      <w:r>
        <w:rPr>
          <w:rFonts w:hint="eastAsia" w:ascii="Times New Roman" w:hAnsi="Times New Roman" w:eastAsia="宋体" w:cs="Times New Roman"/>
          <w:b/>
          <w:bCs/>
          <w:color w:val="auto"/>
          <w:kern w:val="44"/>
          <w:sz w:val="28"/>
          <w:szCs w:val="28"/>
          <w:highlight w:val="none"/>
          <w:lang w:val="en-US" w:eastAsia="zh-CN" w:bidi="ar-SA"/>
        </w:rPr>
        <w:t>1．</w:t>
      </w:r>
      <w:r>
        <w:rPr>
          <w:rFonts w:hint="eastAsia"/>
          <w:color w:val="auto"/>
          <w:highlight w:val="none"/>
          <w:lang w:val="en-US" w:eastAsia="zh-CN"/>
        </w:rPr>
        <w:t>领导干部综合管理</w:t>
      </w:r>
      <w:bookmarkEnd w:id="64"/>
    </w:p>
    <w:p w14:paraId="256F78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领导干部综合管理功能建设，按干部管理权限，实现班子信息管理和班子分析研判。</w:t>
      </w:r>
    </w:p>
    <w:p w14:paraId="59717E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班子信息管理：包含班子信息和班子维度分析，班子信息实现同步</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各层级班子成员基本信息，记录经济责任审计、巡视人员巡视反应情况、信访举报核实情况、社团企业兼职信息等信息。班子维度分析实现年龄、性别等结构维度图表展示，通过360测评分析领导班子情况，生成各维度数据分析报告。</w:t>
      </w:r>
    </w:p>
    <w:p w14:paraId="135B87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班子分析研判：实现智能预警功能，对班子配备情况预警、班子空岗提醒，交流提醒，亲属回避提醒。实现根据班子维度，分析班子配备情况。</w:t>
      </w:r>
    </w:p>
    <w:p w14:paraId="571A8E86">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5" w:name="_Toc24199"/>
      <w:r>
        <w:rPr>
          <w:rFonts w:hint="eastAsia" w:ascii="Times New Roman" w:hAnsi="Times New Roman" w:eastAsia="宋体" w:cs="Times New Roman"/>
          <w:b/>
          <w:bCs/>
          <w:color w:val="auto"/>
          <w:kern w:val="44"/>
          <w:sz w:val="28"/>
          <w:szCs w:val="28"/>
          <w:highlight w:val="none"/>
          <w:lang w:val="en-US" w:eastAsia="zh-CN" w:bidi="ar-SA"/>
        </w:rPr>
        <w:t>2．</w:t>
      </w:r>
      <w:r>
        <w:rPr>
          <w:rFonts w:hint="eastAsia"/>
          <w:color w:val="auto"/>
          <w:highlight w:val="none"/>
          <w:lang w:val="en-US" w:eastAsia="zh-CN"/>
        </w:rPr>
        <w:t>年轻干部管理</w:t>
      </w:r>
      <w:bookmarkEnd w:id="65"/>
    </w:p>
    <w:p w14:paraId="5C3F47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年轻干部功能建设，实现对新干部薪火计划和优秀年轻干部管理。</w:t>
      </w:r>
    </w:p>
    <w:p w14:paraId="2DEBFB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新干部薪火计划：建立年轻干部成长档案，实现政治素质、成长轨迹、优势特点、教育培训、挂职锻炼、奖惩等成长纪实，对各批次末年“提升期”干部进行综合评价，提出结果运用。</w:t>
      </w:r>
    </w:p>
    <w:p w14:paraId="682490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优秀年轻干部管理：实现按照年龄、职务层次筛选人员，进入优秀年轻领导干部库。提供各公司年轻干部人数不达标情况预警，实现年轻干部出入动态管理。记录年轻干部成长纪实，以可视化图表展示年轻干部基本信息、政治素质、成长轨迹、优势特点、教育培训、挂职锻炼、奖惩、量表测评等信息。结合年度考核，每年对年轻干部表现情况做出结论性鉴定。</w:t>
      </w:r>
    </w:p>
    <w:p w14:paraId="582C4ED1">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highlight w:val="none"/>
          <w:lang w:val="en-US" w:eastAsia="zh-CN"/>
        </w:rPr>
      </w:pPr>
      <w:bookmarkStart w:id="66" w:name="_Toc26515"/>
      <w:r>
        <w:rPr>
          <w:rFonts w:hint="eastAsia" w:ascii="宋体" w:hAnsi="宋体" w:eastAsia="宋体" w:cs="宋体"/>
          <w:b/>
          <w:bCs/>
          <w:color w:val="auto"/>
          <w:kern w:val="44"/>
          <w:sz w:val="28"/>
          <w:szCs w:val="28"/>
          <w:highlight w:val="none"/>
          <w:lang w:val="en-US" w:eastAsia="zh-CN" w:bidi="ar-SA"/>
        </w:rPr>
        <w:t>3．</w:t>
      </w:r>
      <w:r>
        <w:rPr>
          <w:rFonts w:hint="eastAsia"/>
          <w:color w:val="auto"/>
          <w:highlight w:val="none"/>
          <w:lang w:val="en-US" w:eastAsia="zh-CN"/>
        </w:rPr>
        <w:t>干部选拔规范化全流程管理</w:t>
      </w:r>
      <w:bookmarkEnd w:id="66"/>
    </w:p>
    <w:p w14:paraId="316BA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干部选拔相关规定，根据集团实际需求，按干部管理权限，定制干部选拔任用的标准化流程，实现分析研判及动议、民主推荐、组织考察、讨论决定、任职备案、归档线上办理，智能化生成选拔任用工作各类材料。实现各公司干部职务晋升、职级晋升、试用期满正式任职、交流轮岗等干部选拔任用全流程管理。实现干部选拔任用业务配套功能（亲属管理、组织处理管理、岗位管理）、测评调研管理、量化计分、考察人才库和专业技术类任职资格评定建设。</w:t>
      </w:r>
    </w:p>
    <w:p w14:paraId="2B08D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u w:val="none"/>
          <w:shd w:val="clear" w:color="auto" w:fill="auto"/>
          <w:lang w:val="en-US" w:eastAsia="zh-CN"/>
        </w:rPr>
        <w:t>选拔任用配套功能</w:t>
      </w:r>
    </w:p>
    <w:p w14:paraId="61B99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u w:val="none"/>
          <w:shd w:val="clear" w:color="auto" w:fill="auto"/>
          <w:lang w:val="en-US" w:eastAsia="zh-CN"/>
        </w:rPr>
        <w:t>①亲属管理</w:t>
      </w:r>
    </w:p>
    <w:p w14:paraId="1D894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实现个人填报亲属关系，从</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获取已有的亲属信息。填报时系统提供必要的合法性校验。按照</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要求，实现亲属信息集与</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color w:val="auto"/>
          <w:sz w:val="24"/>
          <w:szCs w:val="24"/>
          <w:highlight w:val="none"/>
          <w:lang w:val="en-US" w:eastAsia="zh-CN"/>
        </w:rPr>
        <w:t>中的家庭主要成员及社会重要关系信息集对接。根据回避管理规定，实现亲属回避提示，并按照指定模板生成相关文件，支持导出。</w:t>
      </w:r>
    </w:p>
    <w:p w14:paraId="4BCA0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u w:val="none"/>
          <w:shd w:val="clear" w:color="auto" w:fill="auto"/>
          <w:lang w:val="en-US" w:eastAsia="zh-CN"/>
        </w:rPr>
        <w:t>②组织处理管理</w:t>
      </w:r>
    </w:p>
    <w:p w14:paraId="40400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实现组织处理相关信息登记、查询和统计，并提供组织处理信息相关数据表导出功能。为晋升、调配、量化及分析研判等业务，提供受组织处理相关信息支持。</w:t>
      </w:r>
    </w:p>
    <w:p w14:paraId="5DD16A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③岗位管理</w:t>
      </w:r>
    </w:p>
    <w:p w14:paraId="70698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提供岗位、岗位性质代码配置功能。实现岗位信息的登记、查询和统计。为量化计分、交流轮岗、岗位津贴设定、分析研判等提供数据支持。</w:t>
      </w:r>
    </w:p>
    <w:p w14:paraId="1AA5CB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u w:val="none"/>
          <w:shd w:val="clear" w:color="auto" w:fill="auto"/>
          <w:lang w:val="en-US" w:eastAsia="zh-CN"/>
        </w:rPr>
        <w:t>测评调研管理</w:t>
      </w:r>
    </w:p>
    <w:p w14:paraId="75A9E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工作需要，实现常用测评模板、自定义测评模板、问卷调研模板等的自行配置，提供测评调研发布功能，支持查看测评记录、撤销测评功能。支持测评状态监控，实时查看测评情况和结果统计。支持匿名测评和实名测评。实现按不同计分方式统计测评结果。实现按照图、表、文字综述等定义或自定义模板导出测评结果，支持按定义、自定义方式对结果计分。支持对测评结果按定义、自定义要素进行分类统计。提供测评结果的查询。</w:t>
      </w:r>
    </w:p>
    <w:p w14:paraId="1C6A7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(3)</w:t>
      </w:r>
      <w:r>
        <w:rPr>
          <w:rFonts w:hint="eastAsia" w:ascii="宋体" w:hAnsi="宋体" w:eastAsia="宋体" w:cs="宋体"/>
          <w:b w:val="0"/>
          <w:bCs w:val="0"/>
          <w:color w:val="auto"/>
          <w:kern w:val="2"/>
          <w:sz w:val="24"/>
          <w:szCs w:val="24"/>
          <w:highlight w:val="none"/>
          <w:u w:val="none"/>
          <w:shd w:val="clear" w:color="auto" w:fill="auto"/>
          <w:lang w:val="en-US" w:eastAsia="zh-CN"/>
        </w:rPr>
        <w:t>量化计分</w:t>
      </w:r>
    </w:p>
    <w:p w14:paraId="73243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u w:val="none"/>
          <w:shd w:val="clear" w:color="auto" w:fill="auto"/>
          <w:lang w:val="en-US" w:eastAsia="zh-CN"/>
        </w:rPr>
        <w:t>实现可量化</w:t>
      </w:r>
      <w:r>
        <w:rPr>
          <w:rFonts w:hint="eastAsia" w:ascii="宋体" w:hAnsi="宋体" w:eastAsia="宋体" w:cs="宋体"/>
          <w:color w:val="auto"/>
          <w:sz w:val="24"/>
          <w:szCs w:val="24"/>
          <w:highlight w:val="none"/>
          <w:lang w:val="en-US" w:eastAsia="zh-CN"/>
        </w:rPr>
        <w:t>指标登记，支持对量化指标设置分值，支持自定义计分周期。支持配置自定义指标的计分方式，对用户登记的量化指标，系统提供准确的算分逻辑，确保每一项指标的分值计算准确无误。</w:t>
      </w:r>
    </w:p>
    <w:p w14:paraId="73FB6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实现自定义配置量化计分模板，支持对量化指标分设置约束规则，实现多规则计分周期配置，支持用户自定义配置量化计分公式。</w:t>
      </w:r>
    </w:p>
    <w:p w14:paraId="2F41B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实现调用量化计分模板，生成量化计分结果，结果支持导出。提供PC端或移动端查阅核实个人计分情况，在线向人事部门提出量化数据修改申请，人事部门可对指标、分值进行核实修正。</w:t>
      </w:r>
    </w:p>
    <w:p w14:paraId="75F8E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实现量化计分过程的运行日志，提供量化计分的计算逻辑，方便用户核对。</w:t>
      </w:r>
    </w:p>
    <w:p w14:paraId="5522A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(4)</w:t>
      </w:r>
      <w:r>
        <w:rPr>
          <w:rFonts w:hint="eastAsia" w:ascii="宋体" w:hAnsi="宋体" w:eastAsia="宋体" w:cs="宋体"/>
          <w:b w:val="0"/>
          <w:bCs w:val="0"/>
          <w:color w:val="auto"/>
          <w:kern w:val="2"/>
          <w:sz w:val="24"/>
          <w:szCs w:val="24"/>
          <w:highlight w:val="none"/>
          <w:u w:val="none"/>
          <w:shd w:val="clear" w:color="auto" w:fill="auto"/>
          <w:lang w:val="en-US" w:eastAsia="zh-CN"/>
        </w:rPr>
        <w:t>考察人才库</w:t>
      </w:r>
    </w:p>
    <w:p w14:paraId="2AC4A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区分级别，实现建立考察人才库的过程。支持按模版导入人员进入人才库。实现人才库中人员的进入、退出等状态管理。支持筛选临时人员进入人才库。</w:t>
      </w:r>
    </w:p>
    <w:p w14:paraId="19969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实现对考察人才每次参与考察工作的情况及评价结果进行记录和查询。系统提供必要的校验功能，并支持根据个人职务、级别、考察经历、业务素质、回避规定等要求，在考察小组人员组合分配上给出提示。</w:t>
      </w:r>
    </w:p>
    <w:p w14:paraId="2DD07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u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(5)</w:t>
      </w:r>
      <w:r>
        <w:rPr>
          <w:rFonts w:hint="eastAsia" w:ascii="宋体" w:hAnsi="宋体" w:eastAsia="宋体" w:cs="宋体"/>
          <w:color w:val="auto"/>
          <w:sz w:val="24"/>
          <w:szCs w:val="24"/>
          <w:highlight w:val="none"/>
          <w:lang w:val="en-US" w:eastAsia="zh-CN"/>
        </w:rPr>
        <w:t>专业技术类任职资格评定</w:t>
      </w:r>
    </w:p>
    <w:p w14:paraId="332846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根据申报专业、申报资格和评定方式，实现个人线上申报。按干部管理权限，实现考核、评审、结果认定等资格评定流程。实现任职资格数据与</w:t>
      </w:r>
      <w:r>
        <w:rPr>
          <w:rFonts w:hint="eastAsia" w:ascii="宋体" w:hAnsi="宋体" w:eastAsia="宋体" w:cs="宋体"/>
          <w:b w:val="0"/>
          <w:bCs w:val="0"/>
          <w:color w:val="auto"/>
          <w:sz w:val="24"/>
          <w:szCs w:val="24"/>
          <w:highlight w:val="none"/>
          <w:lang w:val="en-US" w:eastAsia="zh-CN"/>
        </w:rPr>
        <w:t>景弘集团</w:t>
      </w:r>
      <w:r>
        <w:rPr>
          <w:rFonts w:hint="eastAsia" w:ascii="宋体" w:hAnsi="宋体" w:eastAsia="宋体" w:cs="宋体"/>
          <w:color w:val="auto"/>
          <w:sz w:val="24"/>
          <w:szCs w:val="24"/>
          <w:highlight w:val="none"/>
          <w:lang w:val="en-US" w:eastAsia="zh-CN"/>
        </w:rPr>
        <w:t>人事信息库的同步。</w:t>
      </w:r>
    </w:p>
    <w:p w14:paraId="5395D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副高级任职资格人员专业考试的线上组织报名、资格审核，汇总生成考试报名和报名信息统计表，并提供导出和打印功能。支持准考证生成、预览、导出和打印功能。支持考试成绩、考试时间的录入和导入功能，提供考试成绩查询、统计等功能。</w:t>
      </w:r>
    </w:p>
    <w:p w14:paraId="450F8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（6）选拔干部选拔规范化全流程管理</w:t>
      </w:r>
    </w:p>
    <w:p w14:paraId="24B79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干部选拔任用相关规定，根据集团实际需求，按干部管理权限，定制干部选拔任用的标准化流程，实现分析研判及动议、民主推荐、组织考察、讨论决定、任职备案、归档线上全流程纪实，智能化生成选拔任用工作过程中的各类文书。实现干部职务晋升、职级晋升、试用期满正式任职、交流轮岗等干部选拔任用全流程管理。实现将变动数据更新到</w:t>
      </w:r>
      <w:r>
        <w:rPr>
          <w:rFonts w:hint="eastAsia" w:ascii="宋体" w:hAnsi="宋体" w:eastAsia="宋体" w:cs="宋体"/>
          <w:b w:val="0"/>
          <w:bCs w:val="0"/>
          <w:color w:val="auto"/>
          <w:sz w:val="24"/>
          <w:szCs w:val="24"/>
          <w:highlight w:val="none"/>
          <w:lang w:val="en-US" w:eastAsia="zh-CN"/>
        </w:rPr>
        <w:t>景弘集团</w:t>
      </w:r>
      <w:r>
        <w:rPr>
          <w:rFonts w:hint="eastAsia" w:ascii="宋体" w:hAnsi="宋体" w:eastAsia="宋体" w:cs="宋体"/>
          <w:color w:val="auto"/>
          <w:sz w:val="24"/>
          <w:szCs w:val="24"/>
          <w:highlight w:val="none"/>
          <w:lang w:val="en-US" w:eastAsia="zh-CN"/>
        </w:rPr>
        <w:t>人事信息库人员基本信息、职务信息、职务职级信息等信息集。</w:t>
      </w:r>
    </w:p>
    <w:p w14:paraId="3CB843C8">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7" w:name="_Toc20985"/>
      <w:r>
        <w:rPr>
          <w:rFonts w:hint="eastAsia" w:ascii="Times New Roman" w:hAnsi="Times New Roman" w:eastAsia="宋体" w:cs="Times New Roman"/>
          <w:b/>
          <w:bCs/>
          <w:color w:val="auto"/>
          <w:kern w:val="44"/>
          <w:sz w:val="28"/>
          <w:szCs w:val="28"/>
          <w:highlight w:val="none"/>
          <w:lang w:val="en-US" w:eastAsia="zh-CN" w:bidi="ar-SA"/>
        </w:rPr>
        <w:t>4．</w:t>
      </w:r>
      <w:r>
        <w:rPr>
          <w:rFonts w:hint="eastAsia"/>
          <w:color w:val="auto"/>
          <w:highlight w:val="none"/>
          <w:lang w:val="en-US" w:eastAsia="zh-CN"/>
        </w:rPr>
        <w:t>政治素质考察</w:t>
      </w:r>
      <w:bookmarkEnd w:id="67"/>
    </w:p>
    <w:p w14:paraId="37FFE1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政治素质考察功能建设，建立个人政治素质纪实，实现按照指定格式推送考察谈话结果。实现录入编辑政治素质纪实内容，经人事部门审核通过，记录在个人政治素质档案。实现政治表现情况、廉洁表现情况、结论性意见登记，动态记录个人评定结果。提供查询统计功能，对不同评定结果区分显示。支持各公司人事部门按时间（年度、半年、月份）、按公司统计政治素质考察情况、评定结果等。</w:t>
      </w:r>
    </w:p>
    <w:p w14:paraId="477D79BC">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8" w:name="_Toc8149"/>
      <w:r>
        <w:rPr>
          <w:rFonts w:hint="eastAsia" w:ascii="Times New Roman" w:hAnsi="Times New Roman" w:eastAsia="宋体" w:cs="Times New Roman"/>
          <w:b/>
          <w:bCs/>
          <w:color w:val="auto"/>
          <w:kern w:val="44"/>
          <w:sz w:val="28"/>
          <w:szCs w:val="28"/>
          <w:highlight w:val="none"/>
          <w:lang w:val="en-US" w:eastAsia="zh-CN" w:bidi="ar-SA"/>
        </w:rPr>
        <w:t>5．</w:t>
      </w:r>
      <w:r>
        <w:rPr>
          <w:rFonts w:hint="eastAsia"/>
          <w:color w:val="auto"/>
          <w:highlight w:val="none"/>
          <w:lang w:val="en-US" w:eastAsia="zh-CN"/>
        </w:rPr>
        <w:t>平时考核</w:t>
      </w:r>
      <w:bookmarkEnd w:id="68"/>
    </w:p>
    <w:p w14:paraId="11B6BE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平时考核功能建设，依据平时考核相关规定，实现各子公司按照各自的考核办法在系统上灵活配置考核参数、划分考核单元，配置角色，并按照各考核单元绩效排名，确定各考核单元“好”等次比例；根据不同类别人员的计分办法，计算个人月绩效分，结合线上民主测评和上级评价，生成各考核单元个人月考核得分，根据个人月考核得分高低，按照“好”等次比例评定月考核等次。实现月考核结果线上审批、月考核结果公示。</w:t>
      </w:r>
    </w:p>
    <w:p w14:paraId="5C2A9B97">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69" w:name="_Toc30217"/>
      <w:r>
        <w:rPr>
          <w:rFonts w:hint="eastAsia" w:ascii="Times New Roman" w:hAnsi="Times New Roman" w:eastAsia="宋体" w:cs="Times New Roman"/>
          <w:b/>
          <w:bCs/>
          <w:color w:val="auto"/>
          <w:kern w:val="44"/>
          <w:sz w:val="28"/>
          <w:szCs w:val="28"/>
          <w:highlight w:val="none"/>
          <w:lang w:val="en-US" w:eastAsia="zh-CN" w:bidi="ar-SA"/>
        </w:rPr>
        <w:t>6．</w:t>
      </w:r>
      <w:r>
        <w:rPr>
          <w:rFonts w:hint="eastAsia"/>
          <w:color w:val="auto"/>
          <w:highlight w:val="none"/>
          <w:lang w:val="en-US" w:eastAsia="zh-CN"/>
        </w:rPr>
        <w:t>年度考核</w:t>
      </w:r>
      <w:bookmarkEnd w:id="69"/>
    </w:p>
    <w:p w14:paraId="254754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年度考核功能建设，依据年度考核相关规定，按干部管理权限，实现不同级别干部年度考核线上办理流程。实现线上申报审批年度优秀等次比例。各公司在系统上灵活配置考核参数、划分考核单元，并按照部门绩效排名等规则，确定各考核单元“优秀”等次比例，支持设置预留指标。实现个人年度工作总结线上申报，实现线上民主测评和上级评价，结合民主测评、上级评价等次和月考核等次，按规定规则计算个人年度绩效总评得分，根据个人得分高低，按照“优秀”等次比例，提出年度绩效总评和年度考核等次建议，提交审核。实现预留指标的使用和再分配功能。实现年度考核结果线上审批、公示和备案。备案审核时，系统提供必要的校验功能，及时提示各子公司年度考核中存在的错误问题。支持年度考核表的打印和导出。支持年度考核数据同步至</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人事信息库。</w:t>
      </w:r>
    </w:p>
    <w:p w14:paraId="1C4F1CEF">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0" w:name="_Toc16194"/>
      <w:r>
        <w:rPr>
          <w:rFonts w:hint="eastAsia" w:ascii="Times New Roman" w:hAnsi="Times New Roman" w:eastAsia="宋体" w:cs="Times New Roman"/>
          <w:b/>
          <w:bCs/>
          <w:color w:val="auto"/>
          <w:kern w:val="44"/>
          <w:sz w:val="28"/>
          <w:szCs w:val="28"/>
          <w:highlight w:val="none"/>
          <w:lang w:val="en-US" w:eastAsia="zh-CN" w:bidi="ar-SA"/>
        </w:rPr>
        <w:t>7．</w:t>
      </w:r>
      <w:r>
        <w:rPr>
          <w:rFonts w:hint="eastAsia"/>
          <w:color w:val="auto"/>
          <w:highlight w:val="none"/>
          <w:lang w:val="en-US" w:eastAsia="zh-CN"/>
        </w:rPr>
        <w:t>录用管理</w:t>
      </w:r>
      <w:bookmarkEnd w:id="70"/>
    </w:p>
    <w:p w14:paraId="3E4A55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录用管理功能建设，实现灵活设置招考指标与职位，可依据岗位需求设定专业、学历、年龄等招考条件，并具备审核报批功能，确保职位设置的合理性与合规性，审核流程可追溯。实现各公司可便捷报送面试、体测、体检环节工作人员信息，系统自动汇总整合。</w:t>
      </w:r>
    </w:p>
    <w:p w14:paraId="637313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可自定义设置面试、体测、体检条件分组规则，支持考生智能分组，支持人工调整。实现笔试、面试、体测、体检成绩的快速准确录入。支持现场择岗确认操作，实时记录择岗结果并录入系统，生成现场确认表等材料。支持设置政审分组规则，实现考生智能分组，及时录入政审结果。支持对体检不合格、政审不合格人员实现递补功能。实现生成录用报批相关材料，审批通过后，自动生成报到介绍信等材料。转正定级后，支持各公司生成身份登记相关材料，报送集团总公司人事部门，审核汇总后，报上级部门审批。上级部门审批通过，将登记时间等信息同步至</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人事信息库，标识录用人员已登记成功。根据录用管理工作需要，提供必要的查询统计功能。</w:t>
      </w:r>
    </w:p>
    <w:p w14:paraId="29284E6F">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1" w:name="_Toc7816"/>
      <w:r>
        <w:rPr>
          <w:rFonts w:hint="eastAsia" w:ascii="Times New Roman" w:hAnsi="Times New Roman" w:eastAsia="宋体" w:cs="Times New Roman"/>
          <w:b/>
          <w:bCs/>
          <w:color w:val="auto"/>
          <w:kern w:val="44"/>
          <w:sz w:val="28"/>
          <w:szCs w:val="28"/>
          <w:highlight w:val="none"/>
          <w:lang w:val="en-US" w:eastAsia="zh-CN" w:bidi="ar-SA"/>
        </w:rPr>
        <w:t>8．</w:t>
      </w:r>
      <w:r>
        <w:rPr>
          <w:rFonts w:hint="eastAsia"/>
          <w:color w:val="auto"/>
          <w:highlight w:val="none"/>
          <w:lang w:val="en-US" w:eastAsia="zh-CN"/>
        </w:rPr>
        <w:t>调配管理</w:t>
      </w:r>
      <w:bookmarkEnd w:id="71"/>
    </w:p>
    <w:p w14:paraId="5BF448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按照调配管理、借用管理等相关规定，实现系统内调配、调往外系统、外系统调入和不在岗人员线上申请、审批、办理手续、综合查询和统计等功能。</w:t>
      </w:r>
    </w:p>
    <w:p w14:paraId="16ADF0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（1）系统内调配</w:t>
      </w:r>
    </w:p>
    <w:p w14:paraId="73C4D4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系统内调配需要区分量化计分和不量化计分两种方式，系统内量化调配要实现各公司组织报名、支部审核、资格初审、量化计分、公示，集团总公司汇总全集团人员，组织资格复审，确定综合排名，由人事部门根据量化分数排名情况，拟定调动人员初步名单，提交集团总公司党委研究确定人员，组织择岗，确定调动去向，生成各类调动文书，办理调动手续。系统内非量化调配，由集团总公司直接确认调动人员名单，生成各类调动文书，办理调动手续。实现人员信息在</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w:t>
      </w:r>
      <w:r>
        <w:rPr>
          <w:rFonts w:hint="eastAsia" w:ascii="宋体" w:hAnsi="宋体" w:eastAsia="宋体" w:cs="宋体"/>
          <w:color w:val="auto"/>
          <w:sz w:val="24"/>
          <w:szCs w:val="24"/>
          <w:highlight w:val="none"/>
          <w:lang w:val="en-US" w:eastAsia="zh-CN"/>
        </w:rPr>
        <w:t>信息库</w:t>
      </w:r>
      <w:r>
        <w:rPr>
          <w:rFonts w:hint="eastAsia" w:eastAsia="宋体"/>
          <w:color w:val="auto"/>
          <w:sz w:val="24"/>
          <w:szCs w:val="24"/>
          <w:highlight w:val="none"/>
          <w:lang w:val="en-US" w:eastAsia="zh-CN"/>
        </w:rPr>
        <w:t>中的数据流转。</w:t>
      </w:r>
    </w:p>
    <w:p w14:paraId="772B90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（2）调往外系统</w:t>
      </w:r>
    </w:p>
    <w:p w14:paraId="16B577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实现申请调动人员向所在支部提交调动申请、支部政审、资格初审、提出调动建议报上级人事部门审核，报总公司审批同意后，生成各类调动文书，办理调动手续，实现人员信息在</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w:t>
      </w:r>
      <w:r>
        <w:rPr>
          <w:rFonts w:hint="eastAsia" w:ascii="宋体" w:hAnsi="宋体" w:eastAsia="宋体" w:cs="宋体"/>
          <w:color w:val="auto"/>
          <w:sz w:val="24"/>
          <w:szCs w:val="24"/>
          <w:highlight w:val="none"/>
          <w:lang w:val="en-US" w:eastAsia="zh-CN"/>
        </w:rPr>
        <w:t>信息库</w:t>
      </w:r>
      <w:r>
        <w:rPr>
          <w:rFonts w:hint="eastAsia" w:eastAsia="宋体"/>
          <w:color w:val="auto"/>
          <w:sz w:val="24"/>
          <w:szCs w:val="24"/>
          <w:highlight w:val="none"/>
          <w:lang w:val="en-US" w:eastAsia="zh-CN"/>
        </w:rPr>
        <w:t>中的数据流转。</w:t>
      </w:r>
    </w:p>
    <w:p w14:paraId="795E9F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（3）外系统调入</w:t>
      </w:r>
    </w:p>
    <w:p w14:paraId="19CD6B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实现集团总公司对调动申请人基本信息的录入与编辑。实现生成商调函和商调函批办单，并支持打印和导出。</w:t>
      </w:r>
    </w:p>
    <w:p w14:paraId="431BC2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（4）不在岗人员</w:t>
      </w:r>
    </w:p>
    <w:p w14:paraId="591DD3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不同借用类型（跟班学习、帮助工作、抽调专班等）的线上填报审批流程，生成相应借用审批单，生成借用通知。支持流程终止或者退回。实现移动端审批流程。实现借用人员的快到期、已到期提醒。实现延长借用期限的审批和记录。即将结束借用时，实现借用期间的鉴定生成，并实现结束借用。实现对挂职、驻村、援派等情形进行线上登记。</w:t>
      </w:r>
    </w:p>
    <w:p w14:paraId="5E7232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（5）查询和统计</w:t>
      </w:r>
    </w:p>
    <w:p w14:paraId="56A60A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调动相关统计，支持按时间（年度、半年、月份）汇总调配人数，包括系统内调动、调往外系统、外系统调入。实现集团总公司统计全集团调配情况，生成《xxx系统内部干部调配汇总表》。系统提供便捷的查询功能，提供用户丰富的查询条件，支持用户自由选择，实现组合查询数据。</w:t>
      </w:r>
    </w:p>
    <w:p w14:paraId="10CAF4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提供满足工作需要的非在岗人员的相关数据统计，支持汇总表导出、打印、反查等功能。提供丰富的组合查询，满足用户按时间段、公司、类型、姓名等查询非在岗人员信息数据。实现查看个人历史非在岗记录。</w:t>
      </w:r>
    </w:p>
    <w:p w14:paraId="33F7A970">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2" w:name="_Toc13459"/>
      <w:r>
        <w:rPr>
          <w:rFonts w:hint="eastAsia" w:ascii="Times New Roman" w:hAnsi="Times New Roman" w:eastAsia="宋体" w:cs="Times New Roman"/>
          <w:b/>
          <w:bCs/>
          <w:color w:val="auto"/>
          <w:kern w:val="44"/>
          <w:sz w:val="28"/>
          <w:szCs w:val="28"/>
          <w:highlight w:val="none"/>
          <w:lang w:val="en-US" w:eastAsia="zh-CN" w:bidi="ar-SA"/>
        </w:rPr>
        <w:t>9．</w:t>
      </w:r>
      <w:r>
        <w:rPr>
          <w:rFonts w:hint="eastAsia"/>
          <w:color w:val="auto"/>
          <w:highlight w:val="none"/>
          <w:lang w:val="en-US" w:eastAsia="zh-CN"/>
        </w:rPr>
        <w:t>因私出入境管理</w:t>
      </w:r>
      <w:bookmarkEnd w:id="72"/>
    </w:p>
    <w:p w14:paraId="441FEF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依据因私出入境相关规定，按干部管理权限，实现对因私出入境证件管理，对证件的申领、使用、归还进行记录，设置证件过期、催缴提醒。实现因私出国（境）证件相关查询和统计。按干部管理权限，实现申办证件流程和因私出国（境）流程线上审批，实现从个人申请、部门审核到领导审批的全流程电子化，实时跟踪审批进度。提供因私出国（境）相关信息查询和统计报表功能，支持对申办证件、因私出国（境）审批相关数据的查询和统计。</w:t>
      </w:r>
    </w:p>
    <w:p w14:paraId="7D7FE15A">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3" w:name="_Toc26830"/>
      <w:r>
        <w:rPr>
          <w:rFonts w:hint="eastAsia" w:ascii="Times New Roman" w:hAnsi="Times New Roman" w:eastAsia="宋体" w:cs="Times New Roman"/>
          <w:b/>
          <w:bCs/>
          <w:color w:val="auto"/>
          <w:kern w:val="44"/>
          <w:sz w:val="28"/>
          <w:szCs w:val="28"/>
          <w:highlight w:val="none"/>
          <w:lang w:val="en-US" w:eastAsia="zh-CN" w:bidi="ar-SA"/>
        </w:rPr>
        <w:t>10．</w:t>
      </w:r>
      <w:r>
        <w:rPr>
          <w:rFonts w:hint="eastAsia"/>
          <w:color w:val="auto"/>
          <w:highlight w:val="none"/>
          <w:lang w:val="en-US" w:eastAsia="zh-CN"/>
        </w:rPr>
        <w:t>学历学位更改</w:t>
      </w:r>
      <w:bookmarkEnd w:id="73"/>
    </w:p>
    <w:p w14:paraId="74B95C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学历学位更改功能建设，按照干部管理权限，依据学历学位更改相关规定，实现学历学位教育申报流程和更改申报流程线上办理审批。系统根据业务规则提供必要的流程校验和提示。实现学历、学位更改信息经单位管理员审批同意，更新到</w:t>
      </w:r>
      <w:r>
        <w:rPr>
          <w:rFonts w:hint="eastAsia" w:ascii="宋体" w:hAnsi="宋体" w:eastAsia="宋体" w:cs="宋体"/>
          <w:b w:val="0"/>
          <w:bCs w:val="0"/>
          <w:color w:val="auto"/>
          <w:sz w:val="24"/>
          <w:szCs w:val="24"/>
          <w:highlight w:val="none"/>
          <w:lang w:val="en-US" w:eastAsia="zh-CN"/>
        </w:rPr>
        <w:t>景弘集团</w:t>
      </w:r>
      <w:r>
        <w:rPr>
          <w:rFonts w:hint="eastAsia" w:eastAsia="宋体"/>
          <w:color w:val="auto"/>
          <w:sz w:val="24"/>
          <w:szCs w:val="24"/>
          <w:highlight w:val="none"/>
          <w:lang w:val="en-US" w:eastAsia="zh-CN"/>
        </w:rPr>
        <w:t>人事信息库。提供查询和统计报表功能，支持对学历学位更改情况的相关查询和统计。</w:t>
      </w:r>
    </w:p>
    <w:p w14:paraId="5C5A8ED9">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4" w:name="_Toc29496"/>
      <w:r>
        <w:rPr>
          <w:rFonts w:hint="eastAsia" w:ascii="Times New Roman" w:hAnsi="Times New Roman" w:eastAsia="宋体" w:cs="Times New Roman"/>
          <w:b/>
          <w:bCs/>
          <w:color w:val="auto"/>
          <w:kern w:val="44"/>
          <w:sz w:val="28"/>
          <w:szCs w:val="28"/>
          <w:highlight w:val="none"/>
          <w:lang w:val="en-US" w:eastAsia="zh-CN" w:bidi="ar-SA"/>
        </w:rPr>
        <w:t>11．</w:t>
      </w:r>
      <w:r>
        <w:rPr>
          <w:rFonts w:hint="eastAsia"/>
          <w:color w:val="auto"/>
          <w:highlight w:val="none"/>
          <w:lang w:val="en-US" w:eastAsia="zh-CN"/>
        </w:rPr>
        <w:t>考勤管理</w:t>
      </w:r>
      <w:bookmarkEnd w:id="74"/>
    </w:p>
    <w:p w14:paraId="7C7A1D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按照干部管理权限，实现对个人请假、销假、离开驻地、各类公出、补休、考勤异常、加班等各类业务流程进行后台自定义编辑配置流程和审批表模板。支持根据国家规定配置法定节假日。实现各公司人事部门灵活配置班次，编制或导入排班信息，实现排班调班、请销假线上审批流程。支持自定义编辑请假类型，设置每类假期的请假规则（如是否包含节假日、假期天数</w:t>
      </w:r>
      <w:r>
        <w:rPr>
          <w:rFonts w:hint="eastAsia"/>
          <w:color w:val="auto"/>
          <w:sz w:val="24"/>
          <w:szCs w:val="24"/>
          <w:highlight w:val="none"/>
          <w:lang w:val="en-US" w:eastAsia="zh-CN"/>
        </w:rPr>
        <w:t>、是否允许跨年</w:t>
      </w:r>
      <w:r>
        <w:rPr>
          <w:rFonts w:hint="eastAsia" w:eastAsia="宋体"/>
          <w:color w:val="auto"/>
          <w:sz w:val="24"/>
          <w:szCs w:val="24"/>
          <w:highlight w:val="none"/>
          <w:lang w:val="en-US" w:eastAsia="zh-CN"/>
        </w:rPr>
        <w:t>等）。实现对考勤终端设备数据信息的处理，实现考勤结果的</w:t>
      </w:r>
      <w:r>
        <w:rPr>
          <w:rFonts w:hint="eastAsia"/>
          <w:color w:val="auto"/>
          <w:sz w:val="24"/>
          <w:szCs w:val="24"/>
          <w:highlight w:val="none"/>
          <w:lang w:val="en-US" w:eastAsia="zh-CN"/>
        </w:rPr>
        <w:t>查询</w:t>
      </w:r>
      <w:r>
        <w:rPr>
          <w:rFonts w:hint="eastAsia" w:eastAsia="宋体"/>
          <w:color w:val="auto"/>
          <w:sz w:val="24"/>
          <w:szCs w:val="24"/>
          <w:highlight w:val="none"/>
          <w:lang w:val="en-US" w:eastAsia="zh-CN"/>
        </w:rPr>
        <w:t>、统计和数据报表导出。实现考勤异常的线上审批流程。实现按各公司设置的考勤分计分规则，自动计算人员的考勤分。实现线上加班审批流程。</w:t>
      </w:r>
      <w:r>
        <w:rPr>
          <w:rFonts w:hint="eastAsia" w:ascii="宋体" w:hAnsi="宋体" w:eastAsia="宋体" w:cs="宋体"/>
          <w:color w:val="auto"/>
          <w:sz w:val="24"/>
          <w:szCs w:val="32"/>
          <w:highlight w:val="none"/>
          <w:lang w:val="en-US" w:eastAsia="zh-CN" w:bidi="ar-SA"/>
        </w:rPr>
        <w:t>自定义配置对应的调用规则和</w:t>
      </w:r>
      <w:r>
        <w:rPr>
          <w:rFonts w:hint="eastAsia" w:ascii="宋体" w:hAnsi="宋体" w:cs="宋体"/>
          <w:color w:val="auto"/>
          <w:sz w:val="24"/>
          <w:szCs w:val="32"/>
          <w:highlight w:val="none"/>
          <w:lang w:val="en-US" w:eastAsia="zh-CN" w:bidi="ar-SA"/>
        </w:rPr>
        <w:t>计算</w:t>
      </w:r>
      <w:r>
        <w:rPr>
          <w:rFonts w:hint="eastAsia" w:ascii="宋体" w:hAnsi="宋体" w:eastAsia="宋体" w:cs="宋体"/>
          <w:color w:val="auto"/>
          <w:sz w:val="24"/>
          <w:szCs w:val="32"/>
          <w:highlight w:val="none"/>
          <w:lang w:val="en-US" w:eastAsia="zh-CN" w:bidi="ar-SA"/>
        </w:rPr>
        <w:t>公式，</w:t>
      </w:r>
      <w:r>
        <w:rPr>
          <w:rFonts w:hint="eastAsia" w:eastAsia="宋体"/>
          <w:color w:val="auto"/>
          <w:sz w:val="24"/>
          <w:szCs w:val="24"/>
          <w:highlight w:val="none"/>
          <w:lang w:val="en-US" w:eastAsia="zh-CN"/>
        </w:rPr>
        <w:t>根据排班值班、考勤、请销假、加班等数据，实现按配置的调用规则和计算公式计算加值班补贴，并按要求生成相关汇总表。实现离开驻地线上审批流程。提供灵活的查询统计功能，实现排班、请销假、考勤、加值班等数据的查询和统计。</w:t>
      </w:r>
    </w:p>
    <w:p w14:paraId="38D316AA">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5" w:name="_Toc28"/>
      <w:r>
        <w:rPr>
          <w:rFonts w:hint="eastAsia" w:ascii="Times New Roman" w:hAnsi="Times New Roman" w:eastAsia="宋体" w:cs="Times New Roman"/>
          <w:b/>
          <w:bCs/>
          <w:color w:val="auto"/>
          <w:kern w:val="44"/>
          <w:sz w:val="28"/>
          <w:szCs w:val="28"/>
          <w:highlight w:val="none"/>
          <w:lang w:val="en-US" w:eastAsia="zh-CN" w:bidi="ar-SA"/>
        </w:rPr>
        <w:t>12．</w:t>
      </w:r>
      <w:r>
        <w:rPr>
          <w:rFonts w:hint="eastAsia"/>
          <w:color w:val="auto"/>
          <w:highlight w:val="none"/>
          <w:lang w:val="en-US" w:eastAsia="zh-CN"/>
        </w:rPr>
        <w:t>离退休管理</w:t>
      </w:r>
      <w:bookmarkEnd w:id="75"/>
    </w:p>
    <w:p w14:paraId="15FE5B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离退休管理功能建设，依据离退休人员相关规定，建立离退休人员基本信息库，包含人员基本信息、服务保障、发挥作用、管理监督四个方面内容。实现离退休工作情况登记，记录离退休管理工作部门的基本情况、老干部工作人员的基本情况、离退休干部党组织工作情况和关工委工作基本情况。系统提供丰富灵活的查询机制和数据校核机制，可以按照业务规则一键生成统计报表，提升离退休人员管理效率。</w:t>
      </w:r>
    </w:p>
    <w:p w14:paraId="6472DD80">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6" w:name="_Toc12471"/>
      <w:r>
        <w:rPr>
          <w:rFonts w:hint="eastAsia" w:ascii="Times New Roman" w:hAnsi="Times New Roman" w:eastAsia="宋体" w:cs="Times New Roman"/>
          <w:b/>
          <w:bCs/>
          <w:color w:val="auto"/>
          <w:kern w:val="44"/>
          <w:sz w:val="28"/>
          <w:szCs w:val="28"/>
          <w:highlight w:val="none"/>
          <w:lang w:val="en-US" w:eastAsia="zh-CN" w:bidi="ar-SA"/>
        </w:rPr>
        <w:t>13．</w:t>
      </w:r>
      <w:r>
        <w:rPr>
          <w:rFonts w:hint="eastAsia"/>
          <w:color w:val="auto"/>
          <w:highlight w:val="none"/>
          <w:lang w:val="en-US" w:eastAsia="zh-CN"/>
        </w:rPr>
        <w:t>报送材料管理</w:t>
      </w:r>
      <w:bookmarkEnd w:id="76"/>
    </w:p>
    <w:p w14:paraId="428AD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报送材料管理功能建设，实现各部门线上下发报送材料通知，设置审批流程、提醒、催促功能，派发人后台可以查看接收部门是否查阅及报送进度情况。实现接收部门查看报送任务，收集整理材料，上传系统上报。支持规定期限内多次上报，超期上报记录处理。实现各部门材料上报的统计和汇总。统计超时报送材料情形，包括迟送、错误等异常情形。汇总识别各部门上报的内容，按要求生成汇总表。</w:t>
      </w:r>
    </w:p>
    <w:p w14:paraId="032C28C6">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7" w:name="_Toc17922"/>
      <w:r>
        <w:rPr>
          <w:rFonts w:hint="eastAsia" w:ascii="Times New Roman" w:hAnsi="Times New Roman" w:eastAsia="宋体" w:cs="Times New Roman"/>
          <w:b/>
          <w:bCs/>
          <w:color w:val="auto"/>
          <w:kern w:val="44"/>
          <w:sz w:val="28"/>
          <w:szCs w:val="28"/>
          <w:highlight w:val="none"/>
          <w:lang w:val="en-US" w:eastAsia="zh-CN" w:bidi="ar-SA"/>
        </w:rPr>
        <w:t>14．</w:t>
      </w:r>
      <w:r>
        <w:rPr>
          <w:rFonts w:hint="eastAsia"/>
          <w:color w:val="auto"/>
          <w:highlight w:val="none"/>
          <w:lang w:val="en-US" w:eastAsia="zh-CN"/>
        </w:rPr>
        <w:t>效能管理工作台</w:t>
      </w:r>
      <w:bookmarkEnd w:id="77"/>
    </w:p>
    <w:p w14:paraId="194AE8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效能管理工作台功能建设，实现独立的系统工作台，并与集团总公司统一门户系统对接，实现单点登录。建设督办任务管理功能，实现任务派发、执行、评价和反馈的全流程管理。建设绩效考评功能，实现考评指标管理、考核数据上报与审核、考核评价与扣分管理。建设专项督查功能，实现督查计划管理、现场督查记录和整改落实跟踪管理。</w:t>
      </w:r>
    </w:p>
    <w:p w14:paraId="44D9DB32">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78" w:name="_Toc18939"/>
      <w:r>
        <w:rPr>
          <w:rFonts w:hint="eastAsia" w:ascii="Times New Roman" w:hAnsi="Times New Roman" w:eastAsia="宋体" w:cs="Times New Roman"/>
          <w:b/>
          <w:bCs/>
          <w:color w:val="auto"/>
          <w:kern w:val="44"/>
          <w:sz w:val="28"/>
          <w:szCs w:val="28"/>
          <w:highlight w:val="none"/>
          <w:lang w:val="en-US" w:eastAsia="zh-CN" w:bidi="ar-SA"/>
        </w:rPr>
        <w:t>15．</w:t>
      </w:r>
      <w:r>
        <w:rPr>
          <w:rFonts w:hint="eastAsia"/>
          <w:color w:val="auto"/>
          <w:highlight w:val="none"/>
          <w:lang w:val="en-US" w:eastAsia="zh-CN"/>
        </w:rPr>
        <w:t>移动端应用</w:t>
      </w:r>
      <w:bookmarkEnd w:id="78"/>
    </w:p>
    <w:p w14:paraId="7649C4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实现在移动端进行人员基本信息、量化计分公示信息、平时考核结果、年度考核结果、考勤、值排班信息、请销假信息、</w:t>
      </w:r>
      <w:r>
        <w:rPr>
          <w:rFonts w:hint="eastAsia" w:asciiTheme="minorEastAsia" w:hAnsiTheme="minorEastAsia" w:eastAsiaTheme="minorEastAsia" w:cstheme="minorEastAsia"/>
          <w:color w:val="auto"/>
          <w:highlight w:val="none"/>
          <w:lang w:val="en-US" w:eastAsia="zh-CN"/>
        </w:rPr>
        <w:t>加班值班补贴、</w:t>
      </w:r>
      <w:r>
        <w:rPr>
          <w:rFonts w:hint="eastAsia" w:eastAsia="宋体"/>
          <w:color w:val="auto"/>
          <w:sz w:val="24"/>
          <w:szCs w:val="24"/>
          <w:highlight w:val="none"/>
          <w:lang w:val="en-US" w:eastAsia="zh-CN"/>
        </w:rPr>
        <w:t>出入境证件信息、因私出入境信息、选拔任用提供党委研究相关材料、测评结果等各业务模块信息查看功能。实现在移动端对个人亲属关系、个人请假销假、补休、考勤异常、加班、因私出入境等各业务模块相关审批流程申请、审批、转办、退回、终止功能。实现在移动端进行综合干部综合管理、年轻干部管理、干部选拔规范化全流程管理、政治素质考察、平时考核、年度考核等业务模块的民主测评功能。实现督办任务查看、监控功能。</w:t>
      </w:r>
    </w:p>
    <w:p w14:paraId="5A8DBFFB">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b/>
          <w:bCs/>
          <w:color w:val="auto"/>
          <w:highlight w:val="none"/>
        </w:rPr>
      </w:pPr>
      <w:bookmarkStart w:id="79" w:name="_Toc1777"/>
      <w:r>
        <w:rPr>
          <w:rFonts w:hint="eastAsia" w:ascii="Times New Roman" w:hAnsi="Times New Roman" w:eastAsia="宋体" w:cs="Times New Roman"/>
          <w:b/>
          <w:bCs/>
          <w:color w:val="auto"/>
          <w:kern w:val="44"/>
          <w:sz w:val="30"/>
          <w:szCs w:val="32"/>
          <w:highlight w:val="none"/>
          <w:lang w:val="en-US" w:eastAsia="zh-CN" w:bidi="ar-SA"/>
        </w:rPr>
        <w:t>（三）</w:t>
      </w:r>
      <w:r>
        <w:rPr>
          <w:rFonts w:hint="eastAsia"/>
          <w:b/>
          <w:bCs/>
          <w:color w:val="auto"/>
          <w:highlight w:val="none"/>
          <w:lang w:val="en-US" w:eastAsia="zh-CN"/>
        </w:rPr>
        <w:t>非功能要求</w:t>
      </w:r>
      <w:bookmarkEnd w:id="79"/>
    </w:p>
    <w:p w14:paraId="01BC2A5C">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0" w:name="_Toc10303"/>
      <w:bookmarkStart w:id="81" w:name="_Toc30749"/>
      <w:r>
        <w:rPr>
          <w:rFonts w:hint="eastAsia" w:ascii="Times New Roman" w:hAnsi="Times New Roman" w:eastAsia="宋体" w:cs="Times New Roman"/>
          <w:b/>
          <w:bCs/>
          <w:color w:val="auto"/>
          <w:kern w:val="44"/>
          <w:sz w:val="28"/>
          <w:szCs w:val="28"/>
          <w:highlight w:val="none"/>
          <w:lang w:val="en-US" w:eastAsia="zh-CN" w:bidi="ar-SA"/>
        </w:rPr>
        <w:t>1．</w:t>
      </w:r>
      <w:r>
        <w:rPr>
          <w:rFonts w:hint="eastAsia"/>
          <w:color w:val="auto"/>
          <w:highlight w:val="none"/>
          <w:lang w:val="en-US" w:eastAsia="zh-CN"/>
        </w:rPr>
        <w:t>性能要求</w:t>
      </w:r>
      <w:bookmarkEnd w:id="80"/>
      <w:bookmarkEnd w:id="81"/>
    </w:p>
    <w:p w14:paraId="566240D1">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系统要求满足集团和</w:t>
      </w:r>
      <w:r>
        <w:rPr>
          <w:rFonts w:hint="eastAsia" w:ascii="宋体" w:hAnsi="宋体" w:eastAsia="宋体" w:cs="宋体"/>
          <w:i w:val="0"/>
          <w:iCs w:val="0"/>
          <w:color w:val="auto"/>
          <w:sz w:val="24"/>
          <w:szCs w:val="24"/>
          <w:highlight w:val="none"/>
          <w:lang w:val="en-US" w:eastAsia="zh-CN"/>
        </w:rPr>
        <w:t>下属子公司</w:t>
      </w:r>
      <w:r>
        <w:rPr>
          <w:rFonts w:hint="eastAsia" w:ascii="宋体" w:hAnsi="宋体" w:eastAsia="宋体" w:cs="宋体"/>
          <w:i w:val="0"/>
          <w:iCs w:val="0"/>
          <w:color w:val="auto"/>
          <w:sz w:val="24"/>
          <w:szCs w:val="24"/>
          <w:highlight w:val="none"/>
        </w:rPr>
        <w:t>使用。具体响应指标包括以下内容：</w:t>
      </w:r>
    </w:p>
    <w:p w14:paraId="7CE91E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基本性能指标</w:t>
      </w:r>
    </w:p>
    <w:p w14:paraId="629E31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稳定性需求：系统在常规压力下保持稳定运行7*24小时；</w:t>
      </w:r>
    </w:p>
    <w:p w14:paraId="305A11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扩展能力需求：系统架构支持横向扩展能力，可随业务量的增长进行必要的节点扩展；</w:t>
      </w:r>
    </w:p>
    <w:p w14:paraId="608241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③系统</w:t>
      </w:r>
      <w:r>
        <w:rPr>
          <w:rFonts w:hint="eastAsia" w:ascii="宋体" w:hAnsi="宋体" w:eastAsia="宋体" w:cs="宋体"/>
          <w:color w:val="auto"/>
          <w:sz w:val="24"/>
          <w:szCs w:val="24"/>
          <w:highlight w:val="none"/>
        </w:rPr>
        <w:t>架构设计需确保系统信息流转的高效、顺畅、稳定、安全、可追溯；</w:t>
      </w:r>
    </w:p>
    <w:p w14:paraId="0FE4C1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系统用户数量：系统总计用户数量</w:t>
      </w:r>
      <w:r>
        <w:rPr>
          <w:rFonts w:hint="eastAsia" w:ascii="宋体" w:hAnsi="宋体" w:eastAsia="宋体" w:cs="宋体"/>
          <w:color w:val="auto"/>
          <w:sz w:val="24"/>
          <w:szCs w:val="24"/>
          <w:highlight w:val="none"/>
          <w:lang w:val="en-US" w:eastAsia="zh-CN"/>
        </w:rPr>
        <w:t>约1</w:t>
      </w:r>
      <w:r>
        <w:rPr>
          <w:rFonts w:hint="eastAsia" w:ascii="宋体" w:hAnsi="宋体" w:eastAsia="宋体" w:cs="宋体"/>
          <w:color w:val="auto"/>
          <w:sz w:val="24"/>
          <w:szCs w:val="24"/>
          <w:highlight w:val="none"/>
        </w:rPr>
        <w:t>0000人；</w:t>
      </w:r>
    </w:p>
    <w:p w14:paraId="1DACA2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系统在线用户数量：系统瞬时在线用户数＞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000人；</w:t>
      </w:r>
    </w:p>
    <w:p w14:paraId="37F9C0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系统并发用户数量：系统瞬时并发用户数</w:t>
      </w:r>
      <w:r>
        <w:rPr>
          <w:rFonts w:hint="eastAsia" w:ascii="宋体" w:hAnsi="宋体" w:eastAsia="宋体" w:cs="宋体"/>
          <w:color w:val="auto"/>
          <w:sz w:val="24"/>
          <w:szCs w:val="24"/>
          <w:highlight w:val="none"/>
          <w:lang w:val="en-US" w:eastAsia="zh-CN"/>
        </w:rPr>
        <w:t>约15</w:t>
      </w:r>
      <w:r>
        <w:rPr>
          <w:rFonts w:hint="eastAsia" w:ascii="宋体" w:hAnsi="宋体" w:eastAsia="宋体" w:cs="宋体"/>
          <w:color w:val="auto"/>
          <w:sz w:val="24"/>
          <w:szCs w:val="24"/>
          <w:highlight w:val="none"/>
        </w:rPr>
        <w:t>00人；</w:t>
      </w:r>
    </w:p>
    <w:p w14:paraId="09188C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处理能力指标</w:t>
      </w:r>
    </w:p>
    <w:p w14:paraId="3D7DA6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性能需求：业务流转稳定性达到99.9%；</w:t>
      </w:r>
    </w:p>
    <w:p w14:paraId="7C73A6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可靠性：在第三方业务系统对接数据缺失情况下，支持数据校验及异常处理机制，保证系统正常运行；</w:t>
      </w:r>
    </w:p>
    <w:p w14:paraId="2CE227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可维护性：支持HTTP、MQ等协议的日志调用，实现业务流程的全流程跟踪，快速定位系统流转异常；</w:t>
      </w:r>
    </w:p>
    <w:p w14:paraId="7C3888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稳定性指标</w:t>
      </w:r>
    </w:p>
    <w:p w14:paraId="3D1373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支撑大量的政务应用，需要通过主备切换、负载均衡、备份等方式保证</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服务的高可用性，系统的年可用率≥99.9%，由于偶发性故障而发生自动热启动的平均次数＜2次/年。</w:t>
      </w:r>
    </w:p>
    <w:p w14:paraId="36EF86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系统故障响应时间：</w:t>
      </w:r>
    </w:p>
    <w:p w14:paraId="50191C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严重：系统宕机或影响业务开展，30分钟之内或回滚；</w:t>
      </w:r>
    </w:p>
    <w:p w14:paraId="1B03E0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高：系统问题影响部分业务开展，4小时之内；</w:t>
      </w:r>
    </w:p>
    <w:p w14:paraId="1AAC19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中：系统问题影响少量业务开展，24小时之内；</w:t>
      </w:r>
    </w:p>
    <w:p w14:paraId="314400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低：系统问题不影响业务办理，运维修复或下个版本解决。</w:t>
      </w:r>
    </w:p>
    <w:p w14:paraId="04122B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③</w:t>
      </w:r>
      <w:r>
        <w:rPr>
          <w:rFonts w:hint="eastAsia" w:ascii="宋体" w:hAnsi="宋体" w:eastAsia="宋体" w:cs="宋体"/>
          <w:i w:val="0"/>
          <w:iCs w:val="0"/>
          <w:color w:val="auto"/>
          <w:sz w:val="24"/>
          <w:szCs w:val="24"/>
          <w:highlight w:val="none"/>
        </w:rPr>
        <w:t>响应时间要求</w:t>
      </w:r>
    </w:p>
    <w:p w14:paraId="03A033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响应时间指标包括页面响应时间和数据响应时间。页面响应时间为用户点击操作页面后的反应，页面反应时间不超过2秒。数据响应时间为用户点击后的到结果的时间，包括服务器反应和数据传输到客户端，普通页面不超过2秒，跨年历史数据最大不超过3秒。根据业务处理类型的不同，把作业划分为交互类业务、查询类业务和统计分析类业务，分别给出响应时间要求的参考值，包括峰值响应时间和平均响应时间。</w:t>
      </w:r>
    </w:p>
    <w:p w14:paraId="58A5041A">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交互类业务</w:t>
      </w:r>
    </w:p>
    <w:p w14:paraId="58C287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交互类业务是指平时工作中在系统中进行的业务处理，如录入，修改或删除一条记录等操作。</w:t>
      </w:r>
    </w:p>
    <w:p w14:paraId="7A1CFA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平均响应时间：不超过2（秒）。</w:t>
      </w:r>
    </w:p>
    <w:p w14:paraId="62DC3B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峰值响应时间：不超过3（秒）。</w:t>
      </w:r>
    </w:p>
    <w:p w14:paraId="7D17395A">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查询类业务</w:t>
      </w:r>
    </w:p>
    <w:p w14:paraId="1DEB11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如信息查询、统计报表生成或决策支持的信息查询等。查询业务由于受到查询的复杂程度、查询的数据量大小等因素的影响，需要根据具体情况而定，在此给出三个参考范围。</w:t>
      </w:r>
    </w:p>
    <w:p w14:paraId="248BC9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简单查询平均响应时间：不超过2（秒）。</w:t>
      </w:r>
    </w:p>
    <w:p w14:paraId="41269E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复杂查询平均响应时间：不超过4（秒）。</w:t>
      </w:r>
    </w:p>
    <w:p w14:paraId="3D9579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极限数据查询时间：最大样本量时数据查询时间不超过1分钟。</w:t>
      </w:r>
    </w:p>
    <w:p w14:paraId="22B590B4">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）统计分析类业务</w:t>
      </w:r>
    </w:p>
    <w:p w14:paraId="11243B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一般统计时间：不超过2秒。</w:t>
      </w:r>
    </w:p>
    <w:p w14:paraId="3A0440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一般分析时间：不超过4秒。</w:t>
      </w:r>
    </w:p>
    <w:p w14:paraId="3926D4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④</w:t>
      </w:r>
      <w:r>
        <w:rPr>
          <w:rFonts w:hint="eastAsia" w:ascii="宋体" w:hAnsi="宋体" w:eastAsia="宋体" w:cs="宋体"/>
          <w:i w:val="0"/>
          <w:iCs w:val="0"/>
          <w:color w:val="auto"/>
          <w:sz w:val="24"/>
          <w:szCs w:val="24"/>
          <w:highlight w:val="none"/>
        </w:rPr>
        <w:t>并发指标要求</w:t>
      </w:r>
    </w:p>
    <w:p w14:paraId="4131A9F1">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提供景弘集团</w:t>
      </w:r>
      <w:r>
        <w:rPr>
          <w:rFonts w:hint="eastAsia" w:ascii="宋体" w:hAnsi="宋体" w:eastAsia="宋体" w:cs="宋体"/>
          <w:i w:val="0"/>
          <w:iCs w:val="0"/>
          <w:color w:val="auto"/>
          <w:sz w:val="24"/>
          <w:szCs w:val="24"/>
          <w:highlight w:val="none"/>
          <w:lang w:val="en-US" w:eastAsia="zh-CN"/>
        </w:rPr>
        <w:t>总公司</w:t>
      </w:r>
      <w:r>
        <w:rPr>
          <w:rFonts w:hint="eastAsia" w:ascii="宋体" w:hAnsi="宋体" w:eastAsia="宋体" w:cs="宋体"/>
          <w:i w:val="0"/>
          <w:iCs w:val="0"/>
          <w:color w:val="auto"/>
          <w:sz w:val="24"/>
          <w:szCs w:val="24"/>
          <w:highlight w:val="none"/>
        </w:rPr>
        <w:t>、子公司工作人员访问，满足并发用户数不少于</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000人同时访问。</w:t>
      </w:r>
    </w:p>
    <w:p w14:paraId="07F0ACEC">
      <w:pPr>
        <w:pStyle w:val="8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应用系统性能应满足用户的要求，要稳定、可靠、实用，人机界面友好，输出、输入方便，图表生成美观，检索、查询简单快捷。</w:t>
      </w:r>
    </w:p>
    <w:p w14:paraId="06F36309">
      <w:pPr>
        <w:pStyle w:val="8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应用系统性能：</w:t>
      </w:r>
    </w:p>
    <w:p w14:paraId="69791A27">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提供功能丰富和使用便捷的二次开发接口；</w:t>
      </w:r>
    </w:p>
    <w:p w14:paraId="40532961">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系统能连续7*24小时平稳运行；</w:t>
      </w:r>
    </w:p>
    <w:p w14:paraId="71A703AD">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能：按照信息密级，在不同的信息安全领域实施相应的安全等级保护，形成不同安全策略；对不同安全等级的信息，通过身份认证和访问控制，实现授权访问；同时，整个系统具备数据备份、容灾恢复和应急响应等功能；</w:t>
      </w:r>
    </w:p>
    <w:p w14:paraId="3F5A40F8">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系统设计应具备强拓展性，应充分考虑在未来若干年内的可扩展性；</w:t>
      </w:r>
    </w:p>
    <w:p w14:paraId="5611F696">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可兼容多种浏览器版本，包括国产电脑浏览器，多版本的谷歌浏览器。</w:t>
      </w:r>
    </w:p>
    <w:p w14:paraId="76914480">
      <w:pPr>
        <w:pStyle w:val="82"/>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系统性能指标如下：</w:t>
      </w:r>
    </w:p>
    <w:p w14:paraId="4E6CE005">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系统响应时间要求：页面加载时间3秒以内，简单查询、分析5秒以内，复杂查询10秒以内，复杂空间分析60秒以内；</w:t>
      </w:r>
    </w:p>
    <w:p w14:paraId="29E5E5D9">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用户并发数要求：按系统使用总人数10</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rPr>
        <w:t>人估算，需支持1000人同时在线，需支持100并发请求/秒；</w:t>
      </w:r>
    </w:p>
    <w:p w14:paraId="1390DC5F">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基于接口的平均响应时间：95%响应时间&lt;3秒；</w:t>
      </w:r>
    </w:p>
    <w:p w14:paraId="7725E7DD">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基于界面的平均响应时间：95%响应时间&lt;5秒；</w:t>
      </w:r>
    </w:p>
    <w:p w14:paraId="567594CA">
      <w:pPr>
        <w:pStyle w:val="8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内存平均使用率不得超过85%。</w:t>
      </w:r>
    </w:p>
    <w:p w14:paraId="354AFF8F">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2" w:name="_Toc25698"/>
      <w:r>
        <w:rPr>
          <w:rFonts w:hint="eastAsia" w:ascii="Times New Roman" w:hAnsi="Times New Roman" w:eastAsia="宋体" w:cs="Times New Roman"/>
          <w:b/>
          <w:bCs/>
          <w:color w:val="auto"/>
          <w:kern w:val="44"/>
          <w:sz w:val="28"/>
          <w:szCs w:val="28"/>
          <w:highlight w:val="none"/>
          <w:lang w:val="en-US" w:eastAsia="zh-CN" w:bidi="ar-SA"/>
        </w:rPr>
        <w:t>2．</w:t>
      </w:r>
      <w:r>
        <w:rPr>
          <w:rFonts w:hint="eastAsia"/>
          <w:color w:val="auto"/>
          <w:highlight w:val="none"/>
          <w:lang w:val="en-US" w:eastAsia="zh-CN"/>
        </w:rPr>
        <w:t>接口要求</w:t>
      </w:r>
      <w:bookmarkEnd w:id="82"/>
    </w:p>
    <w:p w14:paraId="4E68EE58">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本次建设的人事管理系统需对接OA办公系统和</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i w:val="0"/>
          <w:iCs w:val="0"/>
          <w:color w:val="auto"/>
          <w:sz w:val="24"/>
          <w:szCs w:val="24"/>
          <w:highlight w:val="none"/>
          <w:lang w:val="en-US" w:eastAsia="zh-CN"/>
        </w:rPr>
        <w:t>，获取OA办公系统和</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数智一体化平台</w:t>
      </w:r>
      <w:r>
        <w:rPr>
          <w:rFonts w:hint="eastAsia" w:ascii="宋体" w:hAnsi="宋体" w:eastAsia="宋体" w:cs="宋体"/>
          <w:i w:val="0"/>
          <w:iCs w:val="0"/>
          <w:color w:val="auto"/>
          <w:sz w:val="24"/>
          <w:szCs w:val="24"/>
          <w:highlight w:val="none"/>
          <w:lang w:val="en-US" w:eastAsia="zh-CN"/>
        </w:rPr>
        <w:t>）相关数据，同时，根据需要，将人事管理系统产生的业务数据，推送到</w:t>
      </w:r>
      <w:r>
        <w:rPr>
          <w:rFonts w:hint="eastAsia" w:ascii="宋体" w:hAnsi="宋体" w:eastAsia="宋体" w:cs="宋体"/>
          <w:b w:val="0"/>
          <w:bCs w:val="0"/>
          <w:color w:val="auto"/>
          <w:sz w:val="24"/>
          <w:szCs w:val="24"/>
          <w:highlight w:val="none"/>
          <w:lang w:val="en-US" w:eastAsia="zh-CN"/>
        </w:rPr>
        <w:t>景弘集团人事信息库</w:t>
      </w:r>
      <w:r>
        <w:rPr>
          <w:rFonts w:hint="eastAsia" w:ascii="宋体" w:hAnsi="宋体" w:eastAsia="宋体" w:cs="宋体"/>
          <w:i w:val="0"/>
          <w:iCs w:val="0"/>
          <w:color w:val="auto"/>
          <w:sz w:val="24"/>
          <w:szCs w:val="24"/>
          <w:highlight w:val="none"/>
          <w:lang w:val="en-US" w:eastAsia="zh-CN"/>
        </w:rPr>
        <w:t>。</w:t>
      </w:r>
    </w:p>
    <w:p w14:paraId="083B0FAE">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3" w:name="_Toc30827"/>
      <w:r>
        <w:rPr>
          <w:rFonts w:hint="eastAsia" w:ascii="Times New Roman" w:hAnsi="Times New Roman" w:eastAsia="宋体" w:cs="Times New Roman"/>
          <w:b/>
          <w:bCs/>
          <w:color w:val="auto"/>
          <w:kern w:val="44"/>
          <w:sz w:val="28"/>
          <w:szCs w:val="28"/>
          <w:highlight w:val="none"/>
          <w:lang w:val="en-US" w:eastAsia="zh-CN" w:bidi="ar-SA"/>
        </w:rPr>
        <w:t>3．</w:t>
      </w:r>
      <w:r>
        <w:rPr>
          <w:rFonts w:hint="eastAsia"/>
          <w:color w:val="auto"/>
          <w:highlight w:val="none"/>
          <w:lang w:val="en-US" w:eastAsia="zh-CN"/>
        </w:rPr>
        <w:t>系统对接要求</w:t>
      </w:r>
      <w:bookmarkEnd w:id="83"/>
    </w:p>
    <w:p w14:paraId="58BB298C">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需实现与全国公务员管理信息系统、福建省委组织部的干部系统、福建省委组织部的领导干部考核系统无缝对接，实现标准数据的导入导出。</w:t>
      </w:r>
    </w:p>
    <w:p w14:paraId="4E266DEE">
      <w:pPr>
        <w:pStyle w:val="5"/>
        <w:pageBreakBefore w:val="0"/>
        <w:numPr>
          <w:ilvl w:val="0"/>
          <w:numId w:val="0"/>
        </w:numPr>
        <w:tabs>
          <w:tab w:val="left" w:pos="960"/>
        </w:tabs>
        <w:kinsoku/>
        <w:wordWrap/>
        <w:overflowPunct/>
        <w:topLinePunct w:val="0"/>
        <w:autoSpaceDE/>
        <w:autoSpaceDN/>
        <w:bidi w:val="0"/>
        <w:adjustRightInd/>
        <w:snapToGrid/>
        <w:spacing w:line="440" w:lineRule="exact"/>
        <w:jc w:val="both"/>
        <w:textAlignment w:val="auto"/>
        <w:rPr>
          <w:rFonts w:hint="eastAsia"/>
          <w:color w:val="auto"/>
          <w:highlight w:val="none"/>
          <w:lang w:val="en-US" w:eastAsia="zh-CN"/>
        </w:rPr>
      </w:pPr>
      <w:bookmarkStart w:id="84" w:name="_Toc10554"/>
      <w:r>
        <w:rPr>
          <w:rFonts w:hint="eastAsia" w:ascii="Times New Roman" w:hAnsi="Times New Roman" w:eastAsia="宋体" w:cs="Times New Roman"/>
          <w:b/>
          <w:bCs/>
          <w:color w:val="auto"/>
          <w:kern w:val="44"/>
          <w:sz w:val="28"/>
          <w:szCs w:val="28"/>
          <w:highlight w:val="none"/>
          <w:lang w:val="en-US" w:eastAsia="zh-CN" w:bidi="ar-SA"/>
        </w:rPr>
        <w:t>4．</w:t>
      </w:r>
      <w:r>
        <w:rPr>
          <w:rFonts w:hint="eastAsia"/>
          <w:color w:val="auto"/>
          <w:highlight w:val="none"/>
          <w:lang w:val="en-US" w:eastAsia="zh-CN"/>
        </w:rPr>
        <w:t>其它要求</w:t>
      </w:r>
      <w:bookmarkEnd w:id="84"/>
    </w:p>
    <w:p w14:paraId="3E292942">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（1）系统可扩展性</w:t>
      </w:r>
    </w:p>
    <w:p w14:paraId="6B56E690">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系统采用模块化的体系结构，在中间件和分层架构的基础上，支持功能模块动态插入、支持系统规模动态扩展，满足系统快速成长的基本要求。</w:t>
      </w:r>
    </w:p>
    <w:p w14:paraId="4A7C5BBC">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（2）系统可靠性</w:t>
      </w:r>
    </w:p>
    <w:p w14:paraId="2B02B791">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系统设计保证系统运行稳定、安全可靠。系统中的各子系统应采用多种容错手段，主要设备采用双机工作方式，保证系统可靠、正常运行。</w:t>
      </w:r>
    </w:p>
    <w:p w14:paraId="68BA2A69">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（3）系统可移植性</w:t>
      </w:r>
    </w:p>
    <w:p w14:paraId="67AAEE60">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系统支持对现有系统的无缝接入；需兼容目前市面国产化的主流关系型数据库及主流操作系统。</w:t>
      </w:r>
    </w:p>
    <w:p w14:paraId="5BE85E64">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color w:val="auto"/>
          <w:highlight w:val="none"/>
          <w:lang w:val="en-US" w:eastAsia="zh-CN"/>
        </w:rPr>
      </w:pPr>
      <w:bookmarkStart w:id="85" w:name="_Toc10683"/>
      <w:r>
        <w:rPr>
          <w:rFonts w:hint="eastAsia" w:ascii="Times New Roman" w:hAnsi="Times New Roman" w:eastAsia="宋体" w:cs="Times New Roman"/>
          <w:b/>
          <w:bCs/>
          <w:color w:val="auto"/>
          <w:kern w:val="44"/>
          <w:sz w:val="30"/>
          <w:szCs w:val="32"/>
          <w:highlight w:val="none"/>
          <w:lang w:val="en-US" w:eastAsia="zh-CN" w:bidi="ar-SA"/>
        </w:rPr>
        <w:t>（四）</w:t>
      </w:r>
      <w:r>
        <w:rPr>
          <w:rFonts w:hint="eastAsia"/>
          <w:b/>
          <w:bCs/>
          <w:color w:val="auto"/>
          <w:highlight w:val="none"/>
          <w:lang w:val="en-US" w:eastAsia="zh-CN"/>
        </w:rPr>
        <w:t>安全需求</w:t>
      </w:r>
      <w:bookmarkEnd w:id="85"/>
    </w:p>
    <w:p w14:paraId="1AE828F3">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依据信息系统等级保护管理规范和技术标准，结合本项目系统应用的实际情况，本项目建设整体安全性须满足信息系统等级保护三级技术要求，中标人提供详细的系统安全方案，内容包括但不限于系统安全定级、身份认证、权限管理、安全审计、数据安全等。</w:t>
      </w:r>
    </w:p>
    <w:p w14:paraId="3CBE6AD8">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color w:val="auto"/>
          <w:highlight w:val="none"/>
          <w:lang w:val="en-US" w:eastAsia="zh-CN"/>
        </w:rPr>
      </w:pPr>
      <w:bookmarkStart w:id="86" w:name="_Toc8792"/>
      <w:r>
        <w:rPr>
          <w:rFonts w:hint="eastAsia" w:ascii="Times New Roman" w:hAnsi="Times New Roman" w:eastAsia="宋体" w:cs="Times New Roman"/>
          <w:b/>
          <w:bCs/>
          <w:color w:val="auto"/>
          <w:kern w:val="44"/>
          <w:sz w:val="30"/>
          <w:szCs w:val="32"/>
          <w:highlight w:val="none"/>
          <w:lang w:val="en-US" w:eastAsia="zh-CN" w:bidi="ar-SA"/>
        </w:rPr>
        <w:t>（五）</w:t>
      </w:r>
      <w:r>
        <w:rPr>
          <w:rFonts w:hint="eastAsia"/>
          <w:b/>
          <w:bCs/>
          <w:color w:val="auto"/>
          <w:highlight w:val="none"/>
          <w:lang w:val="en-US" w:eastAsia="zh-CN"/>
        </w:rPr>
        <w:t>国产化适配要求</w:t>
      </w:r>
      <w:bookmarkEnd w:id="86"/>
    </w:p>
    <w:p w14:paraId="7298D520">
      <w:pPr>
        <w:pStyle w:val="8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本项目应用软件、应用服务等应全面适配国产化的要求，具体适配规则应符合国家、福建省相关政策文件要求。</w:t>
      </w:r>
    </w:p>
    <w:p w14:paraId="740F927E">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color w:val="auto"/>
          <w:highlight w:val="none"/>
          <w:lang w:val="en-US" w:eastAsia="zh-CN"/>
        </w:rPr>
      </w:pPr>
      <w:bookmarkStart w:id="87" w:name="_Toc29009"/>
      <w:r>
        <w:rPr>
          <w:rFonts w:hint="eastAsia" w:ascii="Times New Roman" w:hAnsi="Times New Roman" w:eastAsia="宋体" w:cs="Times New Roman"/>
          <w:b/>
          <w:bCs/>
          <w:color w:val="auto"/>
          <w:kern w:val="44"/>
          <w:sz w:val="30"/>
          <w:szCs w:val="32"/>
          <w:highlight w:val="none"/>
          <w:lang w:val="en-US" w:eastAsia="zh-CN" w:bidi="ar-SA"/>
        </w:rPr>
        <w:t>（六）</w:t>
      </w:r>
      <w:r>
        <w:rPr>
          <w:rFonts w:hint="eastAsia"/>
          <w:b/>
          <w:bCs/>
          <w:color w:val="auto"/>
          <w:highlight w:val="none"/>
          <w:lang w:val="en-US" w:eastAsia="zh-CN"/>
        </w:rPr>
        <w:t>项目实施及运维服务要求</w:t>
      </w:r>
      <w:bookmarkEnd w:id="87"/>
    </w:p>
    <w:p w14:paraId="4E02AC9C">
      <w:pPr>
        <w:pStyle w:val="8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val="en-US" w:eastAsia="zh-CN"/>
        </w:rPr>
      </w:pPr>
      <w:bookmarkStart w:id="88" w:name="_Toc17197"/>
      <w:bookmarkStart w:id="89" w:name="_Toc13240"/>
      <w:bookmarkStart w:id="90" w:name="_Toc9197"/>
      <w:r>
        <w:rPr>
          <w:rFonts w:hint="eastAsia" w:ascii="宋体" w:hAnsi="宋体" w:eastAsia="宋体" w:cs="宋体"/>
          <w:b/>
          <w:bCs/>
          <w:i w:val="0"/>
          <w:iCs w:val="0"/>
          <w:color w:val="auto"/>
          <w:sz w:val="24"/>
          <w:szCs w:val="24"/>
          <w:highlight w:val="none"/>
          <w:lang w:val="en-US" w:eastAsia="zh-CN"/>
        </w:rPr>
        <w:t>1、项目组织管理</w:t>
      </w:r>
      <w:bookmarkEnd w:id="88"/>
      <w:bookmarkEnd w:id="89"/>
      <w:bookmarkEnd w:id="90"/>
    </w:p>
    <w:p w14:paraId="6BE790E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91" w:name="_Toc10630"/>
      <w:bookmarkStart w:id="92" w:name="_Toc19281"/>
      <w:bookmarkStart w:id="93" w:name="_Toc6389"/>
      <w:r>
        <w:rPr>
          <w:rFonts w:hint="eastAsia" w:ascii="宋体" w:hAnsi="宋体" w:eastAsia="宋体" w:cs="宋体"/>
          <w:i w:val="0"/>
          <w:iCs w:val="0"/>
          <w:color w:val="auto"/>
          <w:sz w:val="24"/>
          <w:szCs w:val="24"/>
          <w:highlight w:val="none"/>
          <w:lang w:val="en-US" w:eastAsia="zh-CN"/>
        </w:rPr>
        <w:t>（1）项目组织</w:t>
      </w:r>
      <w:bookmarkEnd w:id="91"/>
      <w:bookmarkEnd w:id="92"/>
      <w:bookmarkEnd w:id="93"/>
    </w:p>
    <w:p w14:paraId="380DF04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为保障项目按质、按量、按时及有序实施，中标人对本项目须建立一个完善和稳定的项目团队、管理机构及执行流程。</w:t>
      </w:r>
    </w:p>
    <w:p w14:paraId="29794E2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94" w:name="_Toc5237"/>
      <w:bookmarkStart w:id="95" w:name="_Toc18308"/>
      <w:bookmarkStart w:id="96" w:name="_Toc27392"/>
      <w:r>
        <w:rPr>
          <w:rFonts w:hint="eastAsia" w:ascii="宋体" w:hAnsi="宋体" w:eastAsia="宋体" w:cs="宋体"/>
          <w:i w:val="0"/>
          <w:iCs w:val="0"/>
          <w:color w:val="auto"/>
          <w:sz w:val="24"/>
          <w:szCs w:val="24"/>
          <w:highlight w:val="none"/>
          <w:lang w:val="en-US" w:eastAsia="zh-CN"/>
        </w:rPr>
        <w:t>（2）人员配备要求</w:t>
      </w:r>
      <w:bookmarkEnd w:id="94"/>
      <w:bookmarkEnd w:id="95"/>
      <w:bookmarkEnd w:id="96"/>
    </w:p>
    <w:p w14:paraId="4E8C0FE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组织结构与人力资源方案（项目实施团队）：中标人应说明为满足本项目实施需要，拟成立的本项目实施团队的管理组织机构，包括人员的配备、分工、参加项目时间，并附上参加本项目的主要管理、技术人员一览表，并承诺项目周期内实施人员的稳定性，项目核心人员不发生变动。</w:t>
      </w:r>
    </w:p>
    <w:p w14:paraId="1DC66C8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在项目组人员构成方面，必须至少配备如下人员：项目负责人（驻点）、技术负责人（驻点）、开发工程师至少8名（驻点）、UI/UX 设计师（驻点）、产品经理、测试工程师、运维工程师等，</w:t>
      </w:r>
      <w:r>
        <w:rPr>
          <w:rFonts w:hint="eastAsia" w:ascii="宋体" w:hAnsi="宋体" w:eastAsia="宋体" w:cs="宋体"/>
          <w:b/>
          <w:bCs/>
          <w:i w:val="0"/>
          <w:iCs w:val="0"/>
          <w:color w:val="auto"/>
          <w:sz w:val="24"/>
          <w:szCs w:val="24"/>
          <w:highlight w:val="none"/>
          <w:lang w:val="en-US" w:eastAsia="zh-CN"/>
        </w:rPr>
        <w:t>其中项目驻点开发团队不少于11人，</w:t>
      </w:r>
      <w:r>
        <w:rPr>
          <w:rFonts w:hint="eastAsia" w:ascii="宋体" w:hAnsi="宋体" w:eastAsia="宋体" w:cs="宋体"/>
          <w:i w:val="0"/>
          <w:iCs w:val="0"/>
          <w:color w:val="auto"/>
          <w:sz w:val="24"/>
          <w:szCs w:val="24"/>
          <w:highlight w:val="none"/>
          <w:lang w:val="en-US" w:eastAsia="zh-CN"/>
        </w:rPr>
        <w:t>上述所有人员均不为同一人。</w:t>
      </w:r>
    </w:p>
    <w:p w14:paraId="0B2D7B3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中标人应提供驻点开发团队成员清单，且项目团队应入驻招标人单位，</w:t>
      </w:r>
      <w:r>
        <w:rPr>
          <w:rFonts w:hint="eastAsia" w:ascii="宋体" w:hAnsi="宋体" w:cs="宋体"/>
          <w:i w:val="0"/>
          <w:iCs w:val="0"/>
          <w:color w:val="auto"/>
          <w:sz w:val="24"/>
          <w:szCs w:val="24"/>
          <w:highlight w:val="none"/>
          <w:lang w:val="en-US" w:eastAsia="zh-CN"/>
        </w:rPr>
        <w:t>遵守</w:t>
      </w:r>
      <w:r>
        <w:rPr>
          <w:rFonts w:hint="eastAsia" w:ascii="宋体" w:hAnsi="宋体" w:eastAsia="宋体" w:cs="宋体"/>
          <w:i w:val="0"/>
          <w:iCs w:val="0"/>
          <w:color w:val="auto"/>
          <w:sz w:val="24"/>
          <w:szCs w:val="24"/>
          <w:highlight w:val="none"/>
          <w:lang w:val="en-US" w:eastAsia="zh-CN"/>
        </w:rPr>
        <w:t>招标人</w:t>
      </w:r>
      <w:r>
        <w:rPr>
          <w:rFonts w:hint="eastAsia" w:ascii="宋体" w:hAnsi="宋体" w:cs="宋体"/>
          <w:i w:val="0"/>
          <w:iCs w:val="0"/>
          <w:color w:val="auto"/>
          <w:sz w:val="24"/>
          <w:szCs w:val="24"/>
          <w:highlight w:val="none"/>
          <w:lang w:val="en-US" w:eastAsia="zh-CN"/>
        </w:rPr>
        <w:t>相关考勤制度，</w:t>
      </w:r>
      <w:r>
        <w:rPr>
          <w:rFonts w:hint="eastAsia" w:ascii="宋体" w:hAnsi="宋体" w:eastAsia="宋体" w:cs="宋体"/>
          <w:i w:val="0"/>
          <w:iCs w:val="0"/>
          <w:color w:val="auto"/>
          <w:sz w:val="24"/>
          <w:szCs w:val="24"/>
          <w:highlight w:val="none"/>
          <w:lang w:val="en-US" w:eastAsia="zh-CN"/>
        </w:rPr>
        <w:t>根据要求提供日常驻点办公、应急响应</w:t>
      </w:r>
      <w:r>
        <w:rPr>
          <w:rFonts w:hint="eastAsia" w:ascii="宋体" w:hAnsi="宋体" w:cs="宋体"/>
          <w:i w:val="0"/>
          <w:iCs w:val="0"/>
          <w:color w:val="auto"/>
          <w:sz w:val="24"/>
          <w:szCs w:val="24"/>
          <w:highlight w:val="none"/>
          <w:lang w:val="en-US" w:eastAsia="zh-CN"/>
        </w:rPr>
        <w:t>（1小时内响应、12小时内排除故障）</w:t>
      </w:r>
      <w:r>
        <w:rPr>
          <w:rFonts w:hint="eastAsia" w:ascii="宋体" w:hAnsi="宋体" w:eastAsia="宋体" w:cs="宋体"/>
          <w:i w:val="0"/>
          <w:iCs w:val="0"/>
          <w:color w:val="auto"/>
          <w:sz w:val="24"/>
          <w:szCs w:val="24"/>
          <w:highlight w:val="none"/>
          <w:lang w:val="en-US" w:eastAsia="zh-CN"/>
        </w:rPr>
        <w:t>、要求的重要时段或重要节假日7*24小时驻点保障等服务。</w:t>
      </w:r>
    </w:p>
    <w:p w14:paraId="35C6FF0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97" w:name="_Toc14380"/>
      <w:bookmarkStart w:id="98" w:name="_Toc31910"/>
      <w:bookmarkStart w:id="99" w:name="_Toc30362"/>
      <w:r>
        <w:rPr>
          <w:rFonts w:hint="eastAsia" w:ascii="宋体" w:hAnsi="宋体" w:eastAsia="宋体" w:cs="宋体"/>
          <w:i w:val="0"/>
          <w:iCs w:val="0"/>
          <w:color w:val="auto"/>
          <w:sz w:val="24"/>
          <w:szCs w:val="24"/>
          <w:highlight w:val="none"/>
          <w:lang w:val="en-US" w:eastAsia="zh-CN"/>
        </w:rPr>
        <w:t>（3）人员调整原则</w:t>
      </w:r>
      <w:bookmarkEnd w:id="97"/>
      <w:bookmarkEnd w:id="98"/>
      <w:bookmarkEnd w:id="99"/>
    </w:p>
    <w:p w14:paraId="1751AA5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中标人不得随意更换项目团队人员，项目实施期间有任何需要项目变更的（如人员、进度、资金等），必须提前通知招标人，</w:t>
      </w:r>
      <w:r>
        <w:rPr>
          <w:rFonts w:hint="eastAsia" w:ascii="宋体" w:hAnsi="宋体" w:eastAsia="宋体" w:cs="宋体"/>
          <w:b w:val="0"/>
          <w:bCs w:val="0"/>
          <w:color w:val="auto"/>
          <w:sz w:val="24"/>
          <w:szCs w:val="24"/>
          <w:highlight w:val="none"/>
        </w:rPr>
        <w:t>中标人经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同意后更换的人员，不得低于招标文件中相对应人员资质要求</w:t>
      </w:r>
      <w:r>
        <w:rPr>
          <w:rFonts w:hint="eastAsia" w:ascii="宋体" w:hAnsi="宋体" w:eastAsia="宋体" w:cs="宋体"/>
          <w:i w:val="0"/>
          <w:iCs w:val="0"/>
          <w:color w:val="auto"/>
          <w:sz w:val="24"/>
          <w:szCs w:val="24"/>
          <w:highlight w:val="none"/>
          <w:lang w:val="en-US" w:eastAsia="zh-CN"/>
        </w:rPr>
        <w:t>，否则视为</w:t>
      </w:r>
      <w:r>
        <w:rPr>
          <w:rFonts w:hint="eastAsia" w:ascii="宋体" w:hAnsi="宋体" w:cs="宋体"/>
          <w:i w:val="0"/>
          <w:iCs w:val="0"/>
          <w:color w:val="auto"/>
          <w:sz w:val="24"/>
          <w:szCs w:val="24"/>
          <w:highlight w:val="none"/>
          <w:lang w:val="en-US" w:eastAsia="zh-CN"/>
        </w:rPr>
        <w:t>中标人</w:t>
      </w:r>
      <w:r>
        <w:rPr>
          <w:rFonts w:hint="eastAsia" w:ascii="宋体" w:hAnsi="宋体" w:eastAsia="宋体" w:cs="宋体"/>
          <w:i w:val="0"/>
          <w:iCs w:val="0"/>
          <w:color w:val="auto"/>
          <w:sz w:val="24"/>
          <w:szCs w:val="24"/>
          <w:highlight w:val="none"/>
          <w:lang w:val="en-US" w:eastAsia="zh-CN"/>
        </w:rPr>
        <w:t>违约。</w:t>
      </w:r>
    </w:p>
    <w:p w14:paraId="54CD408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实施期间团队人员技术水平不能胜任该工作时，招标人有权利向中标人提出要求更换该岗位人员。中标人应无条件接受并在7日内更换到位，拒不执行的，视为违约。</w:t>
      </w:r>
    </w:p>
    <w:p w14:paraId="3DB7A146">
      <w:pPr>
        <w:pStyle w:val="8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val="en-US" w:eastAsia="zh-CN"/>
        </w:rPr>
      </w:pPr>
      <w:bookmarkStart w:id="100" w:name="_Toc17034"/>
      <w:r>
        <w:rPr>
          <w:rFonts w:hint="eastAsia" w:ascii="宋体" w:hAnsi="宋体" w:eastAsia="宋体" w:cs="宋体"/>
          <w:b/>
          <w:bCs/>
          <w:i w:val="0"/>
          <w:iCs w:val="0"/>
          <w:color w:val="auto"/>
          <w:sz w:val="24"/>
          <w:szCs w:val="24"/>
          <w:highlight w:val="none"/>
          <w:lang w:val="en-US" w:eastAsia="zh-CN"/>
        </w:rPr>
        <w:t>2、项目服务</w:t>
      </w:r>
      <w:bookmarkEnd w:id="100"/>
    </w:p>
    <w:p w14:paraId="737F13F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bookmarkStart w:id="101" w:name="_Toc6587"/>
      <w:r>
        <w:rPr>
          <w:rFonts w:hint="eastAsia" w:ascii="宋体" w:hAnsi="宋体" w:eastAsia="宋体" w:cs="宋体"/>
          <w:i w:val="0"/>
          <w:iCs w:val="0"/>
          <w:color w:val="auto"/>
          <w:sz w:val="24"/>
          <w:szCs w:val="24"/>
          <w:highlight w:val="none"/>
          <w:lang w:val="en-US" w:eastAsia="zh-CN"/>
        </w:rPr>
        <w:t>（1）项目持续优化服务</w:t>
      </w:r>
      <w:bookmarkEnd w:id="101"/>
    </w:p>
    <w:p w14:paraId="18F10DF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合同期内如遇政策、工作流程变化，需根据委托方政策变化或工作流程变化情况调整软件功能，不再收取费用。</w:t>
      </w:r>
    </w:p>
    <w:p w14:paraId="2F2F8A1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rPr>
      </w:pPr>
      <w:bookmarkStart w:id="102" w:name="_Toc29098"/>
      <w:r>
        <w:rPr>
          <w:rFonts w:hint="eastAsia" w:ascii="宋体" w:hAnsi="宋体" w:eastAsia="宋体" w:cs="宋体"/>
          <w:i w:val="0"/>
          <w:iCs w:val="0"/>
          <w:color w:val="auto"/>
          <w:sz w:val="24"/>
          <w:szCs w:val="24"/>
          <w:highlight w:val="none"/>
          <w:lang w:val="en-US" w:eastAsia="zh-CN"/>
        </w:rPr>
        <w:t>（2）知识产权保护</w:t>
      </w:r>
      <w:bookmarkEnd w:id="102"/>
    </w:p>
    <w:p w14:paraId="1531B51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依据要求开发的源代码、所有专利、软件及其数据或程序等成果以及形成的技术文档的知识产权和其它权益归招标人所有。同时，禁止中标人向外界传输、展示招标人项目资料，须严格遵守数据文件和材料的保密规定。</w:t>
      </w:r>
    </w:p>
    <w:p w14:paraId="7767A95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（3）其他要求</w:t>
      </w:r>
    </w:p>
    <w:p w14:paraId="0C4E6515">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对招标人提供的文件、资料、数据以及系统产生的数据承担保密义务，招标人提供的文件、资料、数据以及系统开发、运行过程中的数据产权归招标人所有，未经业务方同意，不得截取、复制系统产生的数据，不得将其提供给其他单位或个人。中标人项目组成员入驻后，签署保密承诺书。该保密义务在本合同期满、解除和终止后仍有效。若招标人与中标人终止合作，则中标人应无条件将数据和源代码在招标人要求的时间内完整且无缺失移交给招标人，并配合招标人转移、整理相关数据，且招标人无须支付其他任何费用，中标人不得锁定系统，不得删除系统开发、运行过程中的数据。合同维保期到期后，中标人需向招标人提供所有数据、数据库字段定义字典、操作使用说明书、帮助文档、软件源代码。软件中标人有责任对数据进行保密，未经招标人同意不得利用系统数据进行商业活动。</w:t>
      </w:r>
    </w:p>
    <w:p w14:paraId="4DAFB68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需提供本项目正常运转所必须的全部系统软件、插件等，确保系统正常运行。产品中采用的第三方软件由中标人自行购买安装，如出现软件侵权行为，由中标人负责，与招标人无关。中标人需保证对招标人提供本项目、本系统正常运行各类软件、中间件、插件、应用程序等给予终身授权、注册使用，不得再收取或产生相关费用。</w:t>
      </w:r>
    </w:p>
    <w:p w14:paraId="4F326A6E">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eastAsia="宋体" w:cs="Times New Roman"/>
          <w:b/>
          <w:bCs/>
          <w:color w:val="auto"/>
          <w:kern w:val="44"/>
          <w:sz w:val="30"/>
          <w:szCs w:val="32"/>
          <w:highlight w:val="none"/>
          <w:lang w:val="en-US" w:eastAsia="zh-CN" w:bidi="ar-SA"/>
        </w:rPr>
        <w:t>（七）平台对接及接口要求</w:t>
      </w:r>
    </w:p>
    <w:p w14:paraId="196183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中标人所提供的业务软件需支持与招标人指定的福建省数智监狱统一门户、统一授权平台、福建监狱数据资源平台、移动执法系统等对接；符合招标人的《统一门户入驻要求和技术规范》、《福建监狱数据资源平台管理办法（试行）》等规范；用户和机构数据应向统一授权平台获取，实现用户机构数据的统一管理。</w:t>
      </w:r>
      <w:r>
        <w:rPr>
          <w:rFonts w:hint="eastAsia" w:ascii="宋体" w:hAnsi="宋体" w:eastAsia="宋体" w:cs="宋体"/>
          <w:b/>
          <w:bCs/>
          <w:color w:val="auto"/>
          <w:sz w:val="24"/>
          <w:szCs w:val="24"/>
          <w:highlight w:val="none"/>
          <w:lang w:val="en-US" w:eastAsia="zh-CN"/>
        </w:rPr>
        <w:t>（投标人须提供承诺函，未提供的按无效投标处理）</w:t>
      </w:r>
    </w:p>
    <w:tbl>
      <w:tblPr>
        <w:tblStyle w:val="26"/>
        <w:tblW w:w="5193" w:type="pct"/>
        <w:tblInd w:w="0" w:type="dxa"/>
        <w:tblLayout w:type="fixed"/>
        <w:tblCellMar>
          <w:top w:w="0" w:type="dxa"/>
          <w:left w:w="108" w:type="dxa"/>
          <w:bottom w:w="0" w:type="dxa"/>
          <w:right w:w="108" w:type="dxa"/>
        </w:tblCellMar>
      </w:tblPr>
      <w:tblGrid>
        <w:gridCol w:w="661"/>
        <w:gridCol w:w="1771"/>
        <w:gridCol w:w="6133"/>
        <w:gridCol w:w="1782"/>
      </w:tblGrid>
      <w:tr w14:paraId="52147997">
        <w:tblPrEx>
          <w:tblCellMar>
            <w:top w:w="0" w:type="dxa"/>
            <w:left w:w="108" w:type="dxa"/>
            <w:bottom w:w="0" w:type="dxa"/>
            <w:right w:w="108" w:type="dxa"/>
          </w:tblCellMar>
        </w:tblPrEx>
        <w:trPr>
          <w:trHeight w:val="131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61276CFF">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B700C3">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系统名称</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1189804E">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集成对接要求</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48871B65">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center"/>
              <w:textAlignment w:val="center"/>
              <w:rPr>
                <w:rFonts w:hint="eastAsia" w:ascii="宋体" w:hAnsi="宋体" w:eastAsia="宋体" w:cs="宋体"/>
                <w:color w:val="auto"/>
                <w:kern w:val="0"/>
                <w:sz w:val="24"/>
                <w:szCs w:val="24"/>
                <w:highlight w:val="none"/>
                <w:lang w:eastAsia="zh" w:bidi="ar"/>
                <w:woUserID w:val="2"/>
              </w:rPr>
            </w:pPr>
            <w:r>
              <w:rPr>
                <w:rFonts w:hint="eastAsia" w:ascii="宋体" w:hAnsi="宋体" w:eastAsia="宋体" w:cs="宋体"/>
                <w:color w:val="auto"/>
                <w:kern w:val="0"/>
                <w:sz w:val="24"/>
                <w:szCs w:val="24"/>
                <w:highlight w:val="none"/>
                <w:lang w:eastAsia="zh" w:bidi="ar"/>
                <w:woUserID w:val="2"/>
              </w:rPr>
              <w:t>备注</w:t>
            </w:r>
          </w:p>
        </w:tc>
      </w:tr>
      <w:tr w14:paraId="18EA50A6">
        <w:tblPrEx>
          <w:tblCellMar>
            <w:top w:w="0" w:type="dxa"/>
            <w:left w:w="108" w:type="dxa"/>
            <w:bottom w:w="0" w:type="dxa"/>
            <w:right w:w="108" w:type="dxa"/>
          </w:tblCellMar>
        </w:tblPrEx>
        <w:trPr>
          <w:trHeight w:val="100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40C4B260">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515" w:type="dxa"/>
            <w:tcBorders>
              <w:top w:val="nil"/>
              <w:left w:val="nil"/>
              <w:bottom w:val="nil"/>
              <w:right w:val="nil"/>
            </w:tcBorders>
            <w:noWrap/>
            <w:vAlign w:val="center"/>
          </w:tcPr>
          <w:p w14:paraId="223B0226">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福建省数智监狱统一门户</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7F372418">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w:t>
            </w:r>
            <w:r>
              <w:rPr>
                <w:rFonts w:hint="eastAsia" w:ascii="宋体" w:hAnsi="宋体" w:eastAsia="宋体" w:cs="宋体"/>
                <w:color w:val="auto"/>
                <w:kern w:val="0"/>
                <w:sz w:val="24"/>
                <w:szCs w:val="24"/>
                <w:highlight w:val="none"/>
                <w:lang w:eastAsia="zh-CN" w:bidi="ar"/>
              </w:rPr>
              <w:t>（系统）</w:t>
            </w:r>
            <w:r>
              <w:rPr>
                <w:rFonts w:hint="eastAsia" w:ascii="宋体" w:hAnsi="宋体" w:eastAsia="宋体" w:cs="宋体"/>
                <w:color w:val="auto"/>
                <w:kern w:val="0"/>
                <w:sz w:val="24"/>
                <w:szCs w:val="24"/>
                <w:highlight w:val="none"/>
                <w:lang w:bidi="ar"/>
              </w:rPr>
              <w:t>应具备与</w:t>
            </w:r>
            <w:r>
              <w:rPr>
                <w:rFonts w:hint="eastAsia" w:ascii="宋体" w:hAnsi="宋体" w:eastAsia="宋体" w:cs="宋体"/>
                <w:color w:val="auto"/>
                <w:kern w:val="0"/>
                <w:sz w:val="24"/>
                <w:szCs w:val="24"/>
                <w:highlight w:val="none"/>
                <w:lang w:eastAsia="zh-CN" w:bidi="ar"/>
              </w:rPr>
              <w:t>福建省数智监狱统一门户</w:t>
            </w:r>
            <w:r>
              <w:rPr>
                <w:rFonts w:hint="eastAsia" w:ascii="宋体" w:hAnsi="宋体" w:eastAsia="宋体" w:cs="宋体"/>
                <w:color w:val="auto"/>
                <w:kern w:val="0"/>
                <w:sz w:val="24"/>
                <w:szCs w:val="24"/>
                <w:highlight w:val="none"/>
                <w:lang w:bidi="ar"/>
              </w:rPr>
              <w:t>对接的能力；</w:t>
            </w:r>
            <w:r>
              <w:rPr>
                <w:rFonts w:hint="eastAsia" w:ascii="宋体" w:hAnsi="宋体" w:eastAsia="宋体" w:cs="宋体"/>
                <w:color w:val="auto"/>
                <w:kern w:val="0"/>
                <w:sz w:val="24"/>
                <w:szCs w:val="24"/>
                <w:highlight w:val="none"/>
                <w:lang w:eastAsia="zh-CN" w:bidi="ar"/>
              </w:rPr>
              <w:t>实现</w:t>
            </w:r>
            <w:r>
              <w:rPr>
                <w:rFonts w:hint="eastAsia" w:ascii="宋体" w:hAnsi="宋体" w:eastAsia="宋体" w:cs="宋体"/>
                <w:color w:val="auto"/>
                <w:kern w:val="0"/>
                <w:sz w:val="24"/>
                <w:szCs w:val="24"/>
                <w:highlight w:val="none"/>
                <w:lang w:bidi="ar"/>
              </w:rPr>
              <w:t>消息推送；</w:t>
            </w:r>
            <w:r>
              <w:rPr>
                <w:rFonts w:hint="eastAsia" w:ascii="宋体" w:hAnsi="宋体" w:eastAsia="宋体" w:cs="宋体"/>
                <w:color w:val="auto"/>
                <w:kern w:val="0"/>
                <w:sz w:val="24"/>
                <w:szCs w:val="24"/>
                <w:highlight w:val="none"/>
                <w:lang w:eastAsia="zh-CN" w:bidi="ar"/>
              </w:rPr>
              <w:t>实现</w:t>
            </w:r>
            <w:r>
              <w:rPr>
                <w:rFonts w:hint="eastAsia" w:ascii="宋体" w:hAnsi="宋体" w:eastAsia="宋体" w:cs="宋体"/>
                <w:color w:val="auto"/>
                <w:kern w:val="0"/>
                <w:sz w:val="24"/>
                <w:szCs w:val="24"/>
                <w:highlight w:val="none"/>
                <w:lang w:bidi="ar"/>
              </w:rPr>
              <w:t>单点登录对接及授权。</w:t>
            </w:r>
          </w:p>
        </w:tc>
        <w:tc>
          <w:tcPr>
            <w:tcW w:w="1525" w:type="dxa"/>
            <w:vMerge w:val="restart"/>
            <w:tcBorders>
              <w:top w:val="single" w:color="000000" w:sz="4" w:space="0"/>
              <w:left w:val="single" w:color="000000" w:sz="4" w:space="0"/>
              <w:right w:val="single" w:color="000000" w:sz="4" w:space="0"/>
            </w:tcBorders>
            <w:noWrap w:val="0"/>
            <w:vAlign w:val="center"/>
          </w:tcPr>
          <w:p w14:paraId="3742492B">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 w:bidi="ar"/>
                <w:woUserID w:val="2"/>
              </w:rPr>
            </w:pPr>
            <w:r>
              <w:rPr>
                <w:rFonts w:hint="eastAsia" w:ascii="宋体" w:hAnsi="宋体" w:eastAsia="宋体" w:cs="宋体"/>
                <w:color w:val="auto"/>
                <w:kern w:val="0"/>
                <w:sz w:val="24"/>
                <w:szCs w:val="24"/>
                <w:highlight w:val="none"/>
                <w:lang w:eastAsia="zh" w:bidi="ar"/>
                <w:woUserID w:val="2"/>
              </w:rPr>
              <w:t>由中标人负责实现对接各子系统厂家，并实现所有子系统的对接、授权、共享工作。子系统包含但不限于招标人现有及维保期内新建的软硬件系统</w:t>
            </w:r>
          </w:p>
        </w:tc>
      </w:tr>
      <w:tr w14:paraId="1A0B19A7">
        <w:tblPrEx>
          <w:tblCellMar>
            <w:top w:w="0" w:type="dxa"/>
            <w:left w:w="108" w:type="dxa"/>
            <w:bottom w:w="0" w:type="dxa"/>
            <w:right w:w="108" w:type="dxa"/>
          </w:tblCellMar>
        </w:tblPrEx>
        <w:trPr>
          <w:trHeight w:val="100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7D837AA4">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699015">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统一授权平台</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1407FC27">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平台</w:t>
            </w:r>
            <w:r>
              <w:rPr>
                <w:rFonts w:hint="eastAsia" w:ascii="宋体" w:hAnsi="宋体" w:eastAsia="宋体" w:cs="宋体"/>
                <w:color w:val="auto"/>
                <w:kern w:val="0"/>
                <w:sz w:val="24"/>
                <w:szCs w:val="24"/>
                <w:highlight w:val="none"/>
                <w:lang w:eastAsia="zh-CN" w:bidi="ar"/>
              </w:rPr>
              <w:t>（系统）</w:t>
            </w:r>
            <w:r>
              <w:rPr>
                <w:rFonts w:hint="eastAsia" w:ascii="宋体" w:hAnsi="宋体" w:eastAsia="宋体" w:cs="宋体"/>
                <w:color w:val="auto"/>
                <w:kern w:val="0"/>
                <w:sz w:val="24"/>
                <w:szCs w:val="24"/>
                <w:highlight w:val="none"/>
                <w:lang w:bidi="ar"/>
              </w:rPr>
              <w:t>应具备与</w:t>
            </w:r>
            <w:r>
              <w:rPr>
                <w:rFonts w:hint="eastAsia" w:ascii="宋体" w:hAnsi="宋体" w:eastAsia="宋体" w:cs="宋体"/>
                <w:color w:val="auto"/>
                <w:sz w:val="24"/>
                <w:szCs w:val="24"/>
                <w:highlight w:val="none"/>
                <w:lang w:eastAsia="zh-CN"/>
              </w:rPr>
              <w:t>统一授权平台</w:t>
            </w:r>
            <w:r>
              <w:rPr>
                <w:rFonts w:hint="eastAsia" w:ascii="宋体" w:hAnsi="宋体" w:eastAsia="宋体" w:cs="宋体"/>
                <w:color w:val="auto"/>
                <w:kern w:val="0"/>
                <w:sz w:val="24"/>
                <w:szCs w:val="24"/>
                <w:highlight w:val="none"/>
                <w:lang w:bidi="ar"/>
              </w:rPr>
              <w:t>对接的能力；</w:t>
            </w:r>
            <w:r>
              <w:rPr>
                <w:rFonts w:hint="eastAsia" w:ascii="宋体" w:hAnsi="宋体" w:eastAsia="宋体" w:cs="宋体"/>
                <w:color w:val="auto"/>
                <w:kern w:val="0"/>
                <w:sz w:val="24"/>
                <w:szCs w:val="24"/>
                <w:highlight w:val="none"/>
                <w:lang w:eastAsia="zh-CN" w:bidi="ar"/>
              </w:rPr>
              <w:t>通过</w:t>
            </w:r>
            <w:r>
              <w:rPr>
                <w:rFonts w:hint="eastAsia" w:ascii="宋体" w:hAnsi="宋体" w:eastAsia="宋体" w:cs="宋体"/>
                <w:color w:val="auto"/>
                <w:sz w:val="24"/>
                <w:szCs w:val="24"/>
                <w:highlight w:val="none"/>
                <w:lang w:eastAsia="zh-CN"/>
              </w:rPr>
              <w:t>统一授权平台获取用户和机构数据。</w:t>
            </w:r>
          </w:p>
        </w:tc>
        <w:tc>
          <w:tcPr>
            <w:tcW w:w="1525" w:type="dxa"/>
            <w:vMerge w:val="continue"/>
            <w:tcBorders>
              <w:left w:val="single" w:color="000000" w:sz="4" w:space="0"/>
              <w:right w:val="single" w:color="000000" w:sz="4" w:space="0"/>
            </w:tcBorders>
            <w:noWrap w:val="0"/>
            <w:vAlign w:val="center"/>
          </w:tcPr>
          <w:p w14:paraId="712951E9">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p>
        </w:tc>
      </w:tr>
      <w:tr w14:paraId="64A1D3BE">
        <w:tblPrEx>
          <w:tblCellMar>
            <w:top w:w="0" w:type="dxa"/>
            <w:left w:w="108" w:type="dxa"/>
            <w:bottom w:w="0" w:type="dxa"/>
            <w:right w:w="108" w:type="dxa"/>
          </w:tblCellMar>
        </w:tblPrEx>
        <w:trPr>
          <w:trHeight w:val="131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14BB5DB8">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1A0165A">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福建监狱数据资源平台</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7313C607">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w:t>
            </w:r>
            <w:r>
              <w:rPr>
                <w:rFonts w:hint="eastAsia" w:ascii="宋体" w:hAnsi="宋体" w:eastAsia="宋体" w:cs="宋体"/>
                <w:color w:val="auto"/>
                <w:kern w:val="0"/>
                <w:sz w:val="24"/>
                <w:szCs w:val="24"/>
                <w:highlight w:val="none"/>
                <w:lang w:eastAsia="zh-CN" w:bidi="ar"/>
              </w:rPr>
              <w:t>（系统）</w:t>
            </w:r>
            <w:r>
              <w:rPr>
                <w:rFonts w:hint="eastAsia" w:ascii="宋体" w:hAnsi="宋体" w:eastAsia="宋体" w:cs="宋体"/>
                <w:color w:val="auto"/>
                <w:kern w:val="0"/>
                <w:sz w:val="24"/>
                <w:szCs w:val="24"/>
                <w:highlight w:val="none"/>
                <w:lang w:bidi="ar"/>
              </w:rPr>
              <w:t>应具备与</w:t>
            </w:r>
            <w:r>
              <w:rPr>
                <w:rFonts w:hint="eastAsia" w:ascii="宋体" w:hAnsi="宋体" w:eastAsia="宋体" w:cs="宋体"/>
                <w:color w:val="auto"/>
                <w:kern w:val="2"/>
                <w:sz w:val="24"/>
                <w:szCs w:val="24"/>
                <w:highlight w:val="none"/>
                <w:lang w:val="en-US" w:eastAsia="zh-CN" w:bidi="ar-SA"/>
              </w:rPr>
              <w:t>福建监狱数据资源平台</w:t>
            </w:r>
            <w:r>
              <w:rPr>
                <w:rFonts w:hint="eastAsia" w:ascii="宋体" w:hAnsi="宋体" w:eastAsia="宋体" w:cs="宋体"/>
                <w:color w:val="auto"/>
                <w:kern w:val="0"/>
                <w:sz w:val="24"/>
                <w:szCs w:val="24"/>
                <w:highlight w:val="none"/>
                <w:lang w:bidi="ar"/>
              </w:rPr>
              <w:t>对接的能力；</w:t>
            </w:r>
            <w:r>
              <w:rPr>
                <w:rFonts w:hint="eastAsia" w:ascii="宋体" w:hAnsi="宋体" w:eastAsia="宋体" w:cs="宋体"/>
                <w:b w:val="0"/>
                <w:bCs w:val="0"/>
                <w:color w:val="auto"/>
                <w:sz w:val="24"/>
                <w:szCs w:val="24"/>
                <w:highlight w:val="none"/>
                <w:lang w:val="en-US" w:eastAsia="zh-CN"/>
              </w:rPr>
              <w:t>按照技术标准和管理规范，在数据资源平台登记数据；</w:t>
            </w:r>
            <w:r>
              <w:rPr>
                <w:rFonts w:hint="eastAsia" w:ascii="宋体" w:hAnsi="宋体" w:eastAsia="宋体" w:cs="宋体"/>
                <w:color w:val="auto"/>
                <w:sz w:val="24"/>
                <w:szCs w:val="24"/>
                <w:highlight w:val="none"/>
                <w:lang w:val="en-US" w:eastAsia="zh-CN"/>
              </w:rPr>
              <w:t>通过数据资源平台</w:t>
            </w:r>
            <w:r>
              <w:rPr>
                <w:rFonts w:hint="eastAsia" w:ascii="宋体" w:hAnsi="宋体" w:eastAsia="宋体" w:cs="宋体"/>
                <w:color w:val="auto"/>
                <w:sz w:val="24"/>
                <w:szCs w:val="24"/>
                <w:highlight w:val="none"/>
              </w:rPr>
              <w:t>获取可开放使用的数据</w:t>
            </w:r>
            <w:r>
              <w:rPr>
                <w:rFonts w:hint="eastAsia" w:ascii="宋体" w:hAnsi="宋体" w:eastAsia="宋体" w:cs="宋体"/>
                <w:color w:val="auto"/>
                <w:sz w:val="24"/>
                <w:szCs w:val="24"/>
                <w:highlight w:val="none"/>
                <w:lang w:val="en-US" w:eastAsia="zh-CN"/>
              </w:rPr>
              <w:t>资源。</w:t>
            </w:r>
          </w:p>
        </w:tc>
        <w:tc>
          <w:tcPr>
            <w:tcW w:w="1525" w:type="dxa"/>
            <w:vMerge w:val="continue"/>
            <w:tcBorders>
              <w:left w:val="single" w:color="000000" w:sz="4" w:space="0"/>
              <w:right w:val="single" w:color="000000" w:sz="4" w:space="0"/>
            </w:tcBorders>
            <w:noWrap w:val="0"/>
            <w:vAlign w:val="center"/>
          </w:tcPr>
          <w:p w14:paraId="381D1718">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p>
        </w:tc>
      </w:tr>
      <w:tr w14:paraId="447D0AE1">
        <w:tblPrEx>
          <w:tblCellMar>
            <w:top w:w="0" w:type="dxa"/>
            <w:left w:w="108" w:type="dxa"/>
            <w:bottom w:w="0" w:type="dxa"/>
            <w:right w:w="108" w:type="dxa"/>
          </w:tblCellMar>
        </w:tblPrEx>
        <w:trPr>
          <w:trHeight w:val="1002"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7E0C2684">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DD8906">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移动执法系统</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4E691385">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平台</w:t>
            </w:r>
            <w:r>
              <w:rPr>
                <w:rFonts w:hint="eastAsia" w:ascii="宋体" w:hAnsi="宋体" w:eastAsia="宋体" w:cs="宋体"/>
                <w:color w:val="auto"/>
                <w:kern w:val="0"/>
                <w:sz w:val="24"/>
                <w:szCs w:val="24"/>
                <w:highlight w:val="none"/>
                <w:lang w:eastAsia="zh-CN" w:bidi="ar"/>
                <w:woUserID w:val="2"/>
              </w:rPr>
              <w:t>（系统）</w:t>
            </w:r>
            <w:r>
              <w:rPr>
                <w:rFonts w:hint="eastAsia" w:ascii="宋体" w:hAnsi="宋体" w:eastAsia="宋体" w:cs="宋体"/>
                <w:color w:val="auto"/>
                <w:sz w:val="24"/>
                <w:szCs w:val="24"/>
                <w:highlight w:val="none"/>
              </w:rPr>
              <w:t>应具备与移动执法系统对接的能力；依据平台功能业务需求接入该系统业务管理相关数据；</w:t>
            </w:r>
            <w:r>
              <w:rPr>
                <w:rFonts w:hint="eastAsia" w:ascii="宋体" w:hAnsi="宋体" w:eastAsia="宋体" w:cs="宋体"/>
                <w:color w:val="auto"/>
                <w:sz w:val="24"/>
                <w:szCs w:val="24"/>
                <w:highlight w:val="none"/>
                <w:lang w:eastAsia="zh-CN"/>
              </w:rPr>
              <w:t>实现</w:t>
            </w:r>
            <w:r>
              <w:rPr>
                <w:rFonts w:hint="eastAsia" w:ascii="宋体" w:hAnsi="宋体" w:eastAsia="宋体" w:cs="宋体"/>
                <w:color w:val="auto"/>
                <w:sz w:val="24"/>
                <w:szCs w:val="24"/>
                <w:highlight w:val="none"/>
              </w:rPr>
              <w:t>单点登录对接及授权。</w:t>
            </w:r>
          </w:p>
        </w:tc>
        <w:tc>
          <w:tcPr>
            <w:tcW w:w="1525" w:type="dxa"/>
            <w:vMerge w:val="continue"/>
            <w:tcBorders>
              <w:left w:val="single" w:color="000000" w:sz="4" w:space="0"/>
              <w:right w:val="single" w:color="000000" w:sz="4" w:space="0"/>
            </w:tcBorders>
            <w:noWrap w:val="0"/>
            <w:vAlign w:val="center"/>
          </w:tcPr>
          <w:p w14:paraId="5F8AF248">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rPr>
            </w:pPr>
          </w:p>
        </w:tc>
      </w:tr>
      <w:tr w14:paraId="4BB0F480">
        <w:tblPrEx>
          <w:tblCellMar>
            <w:top w:w="0" w:type="dxa"/>
            <w:left w:w="108" w:type="dxa"/>
            <w:bottom w:w="0" w:type="dxa"/>
            <w:right w:w="108" w:type="dxa"/>
          </w:tblCellMar>
        </w:tblPrEx>
        <w:trPr>
          <w:trHeight w:val="1441"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14:paraId="4351A1AA">
            <w:pPr>
              <w:keepNext w:val="0"/>
              <w:keepLines w:val="0"/>
              <w:pageBreakBefore w:val="0"/>
              <w:widowControl/>
              <w:kinsoku/>
              <w:wordWrap/>
              <w:overflowPunct/>
              <w:topLinePunct w:val="0"/>
              <w:autoSpaceDE/>
              <w:autoSpaceDN/>
              <w:bidi w:val="0"/>
              <w:adjustRightInd/>
              <w:snapToGrid/>
              <w:spacing w:before="48" w:beforeLines="20"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486D41">
            <w:pPr>
              <w:keepNext w:val="0"/>
              <w:keepLines w:val="0"/>
              <w:pageBreakBefore w:val="0"/>
              <w:widowControl/>
              <w:kinsoku/>
              <w:wordWrap/>
              <w:overflowPunct/>
              <w:topLinePunct w:val="0"/>
              <w:autoSpaceDE/>
              <w:autoSpaceDN/>
              <w:bidi w:val="0"/>
              <w:adjustRightInd/>
              <w:snapToGrid/>
              <w:spacing w:before="48" w:beforeLines="20"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其他相关系统</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14:paraId="6EC5B55A">
            <w:pPr>
              <w:keepNext w:val="0"/>
              <w:keepLines w:val="0"/>
              <w:pageBreakBefore w:val="0"/>
              <w:widowControl/>
              <w:kinsoku/>
              <w:wordWrap/>
              <w:overflowPunct/>
              <w:topLinePunct w:val="0"/>
              <w:autoSpaceDE/>
              <w:autoSpaceDN/>
              <w:bidi w:val="0"/>
              <w:adjustRightInd/>
              <w:snapToGrid/>
              <w:spacing w:before="48" w:beforeLines="20"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业务需求</w:t>
            </w:r>
            <w:r>
              <w:rPr>
                <w:rFonts w:hint="eastAsia" w:ascii="宋体" w:hAnsi="宋体" w:eastAsia="宋体" w:cs="宋体"/>
                <w:color w:val="auto"/>
                <w:sz w:val="24"/>
                <w:szCs w:val="24"/>
                <w:highlight w:val="none"/>
                <w:lang w:eastAsia="zh-CN"/>
              </w:rPr>
              <w:t>与其他相关信息系统</w:t>
            </w:r>
            <w:r>
              <w:rPr>
                <w:rFonts w:hint="eastAsia" w:ascii="宋体" w:hAnsi="宋体" w:eastAsia="宋体" w:cs="宋体"/>
                <w:color w:val="auto"/>
                <w:sz w:val="24"/>
                <w:szCs w:val="24"/>
                <w:highlight w:val="none"/>
              </w:rPr>
              <w:t>进行对接</w:t>
            </w:r>
            <w:r>
              <w:rPr>
                <w:rFonts w:hint="eastAsia" w:ascii="宋体" w:hAnsi="宋体" w:eastAsia="宋体" w:cs="宋体"/>
                <w:color w:val="auto"/>
                <w:sz w:val="24"/>
                <w:szCs w:val="24"/>
                <w:highlight w:val="none"/>
                <w:lang w:eastAsia="zh-CN"/>
              </w:rPr>
              <w:t>；</w:t>
            </w:r>
          </w:p>
          <w:p w14:paraId="46EF1469">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bidi="ar"/>
              </w:rPr>
              <w:t>根据</w:t>
            </w:r>
            <w:r>
              <w:rPr>
                <w:rFonts w:hint="eastAsia" w:ascii="宋体" w:hAnsi="宋体" w:eastAsia="宋体" w:cs="宋体"/>
                <w:color w:val="auto"/>
                <w:kern w:val="0"/>
                <w:sz w:val="24"/>
                <w:szCs w:val="24"/>
                <w:highlight w:val="none"/>
                <w:lang w:bidi="ar"/>
              </w:rPr>
              <w:t>相关系统建设情况，针对于项目维保期间中</w:t>
            </w:r>
            <w:r>
              <w:rPr>
                <w:rFonts w:hint="eastAsia" w:ascii="宋体" w:hAnsi="宋体" w:eastAsia="宋体" w:cs="宋体"/>
                <w:color w:val="auto"/>
                <w:kern w:val="0"/>
                <w:sz w:val="24"/>
                <w:szCs w:val="24"/>
                <w:highlight w:val="none"/>
                <w:lang w:eastAsia="zh" w:bidi="ar"/>
              </w:rPr>
              <w:t>招标人</w:t>
            </w:r>
            <w:r>
              <w:rPr>
                <w:rFonts w:hint="eastAsia" w:ascii="宋体" w:hAnsi="宋体" w:eastAsia="宋体" w:cs="宋体"/>
                <w:color w:val="auto"/>
                <w:kern w:val="0"/>
                <w:sz w:val="24"/>
                <w:szCs w:val="24"/>
                <w:highlight w:val="none"/>
                <w:lang w:bidi="ar"/>
              </w:rPr>
              <w:t>新建的系统</w:t>
            </w:r>
            <w:r>
              <w:rPr>
                <w:rFonts w:hint="eastAsia" w:ascii="宋体" w:hAnsi="宋体" w:eastAsia="宋体" w:cs="宋体"/>
                <w:color w:val="auto"/>
                <w:kern w:val="0"/>
                <w:sz w:val="24"/>
                <w:szCs w:val="24"/>
                <w:highlight w:val="none"/>
                <w:lang w:eastAsia="zh-CN" w:bidi="ar"/>
              </w:rPr>
              <w:t>进行对接。</w:t>
            </w:r>
          </w:p>
        </w:tc>
        <w:tc>
          <w:tcPr>
            <w:tcW w:w="1525" w:type="dxa"/>
            <w:vMerge w:val="continue"/>
            <w:tcBorders>
              <w:left w:val="single" w:color="000000" w:sz="4" w:space="0"/>
              <w:bottom w:val="single" w:color="000000" w:sz="4" w:space="0"/>
              <w:right w:val="single" w:color="000000" w:sz="4" w:space="0"/>
            </w:tcBorders>
            <w:noWrap w:val="0"/>
            <w:vAlign w:val="center"/>
          </w:tcPr>
          <w:p w14:paraId="54BF0481">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4"/>
                <w:szCs w:val="24"/>
                <w:highlight w:val="none"/>
                <w:lang w:eastAsia="zh-CN" w:bidi="ar"/>
              </w:rPr>
            </w:pPr>
          </w:p>
        </w:tc>
      </w:tr>
    </w:tbl>
    <w:p w14:paraId="486F1A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2.中标人应永久免费开放本系统数据接口，应提供标准SDK接口、demo、对接文档，向</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开放系统所有接口，支持与其他应用系统平台实现对接、共享、联动。项目终验时应提供所有接口说明文档，并承诺永久免费技术支持。</w:t>
      </w:r>
      <w:r>
        <w:rPr>
          <w:rFonts w:hint="eastAsia" w:ascii="宋体" w:hAnsi="宋体" w:eastAsia="宋体" w:cs="宋体"/>
          <w:b/>
          <w:bCs/>
          <w:color w:val="auto"/>
          <w:sz w:val="24"/>
          <w:szCs w:val="24"/>
          <w:highlight w:val="none"/>
          <w:lang w:val="en-US" w:eastAsia="zh-CN"/>
        </w:rPr>
        <w:t>（投标人须提供承诺函，未提供的按无效投标处理）</w:t>
      </w:r>
    </w:p>
    <w:p w14:paraId="1C7D68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3.中标人须保证整体系统的兼容性，包括数据传输、存储、平台等各个系统的兼容性并实现无缝对接。项目中涉及平台/系统对接所需的软硬件均由中标人统一考虑，不再支付额外的费用。</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rPr>
        <w:t>提供承诺函，未提供的按无效投标处理）</w:t>
      </w:r>
    </w:p>
    <w:p w14:paraId="7BCF6C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4.中标人负责对接</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现有及合同期内新建相关的技防、业务系统及信息资源库等的建设厂商，负责系统间的对接和调试工作。系统集成、接口开放与系统对接所产生的软件及硬件费用包含在本次项目实施金额内，不再另行增补费用。</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rPr>
        <w:t>提供承诺函，未提供的按无效投标处理）</w:t>
      </w:r>
    </w:p>
    <w:p w14:paraId="47F864E3">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（八）</w:t>
      </w:r>
      <w:r>
        <w:rPr>
          <w:rFonts w:hint="eastAsia" w:ascii="Times New Roman" w:hAnsi="Times New Roman" w:eastAsia="宋体" w:cs="Times New Roman"/>
          <w:b/>
          <w:bCs/>
          <w:color w:val="auto"/>
          <w:kern w:val="44"/>
          <w:sz w:val="30"/>
          <w:szCs w:val="32"/>
          <w:highlight w:val="none"/>
          <w:lang w:val="en-US" w:eastAsia="zh-CN" w:bidi="ar-SA"/>
        </w:rPr>
        <w:t>数据要求</w:t>
      </w:r>
    </w:p>
    <w:p w14:paraId="5047F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中标人应根据国家、行业及监狱系统相关标准及规范制定数据编码、数据格式、接口和命名，应保证系统数据的准确性、完整性、一致性和时效性，否则将承担由此引起的一切后果和相应的法律责任。</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0A50D3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中标人应按照《福建监狱数据资源平台管理办法（试行）》完成数据采集、登记、汇聚、共享、服务等内容。</w:t>
      </w:r>
    </w:p>
    <w:p w14:paraId="2A7C1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中标人对系统产生的数据承担保密义务，系统开发、运行过程中的数据产权归</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所有，未经</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同意，不得截取、复制、迁移系统产生的数据，不得将数据提供给其他单位或个人，不得利用系统数据进行商业活动。该保密义务在本合同期满、解除和终止后仍有效。</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60B6B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若</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与中标人终止合作，则中标人应无条件将数据在</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要求的时间内完整且无缺失移交给</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，并配合</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转移、整理相关数据，且</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无须支付其他任何费用，中标人不得锁定系统，不得删除系统开发、运行过程中的数据。</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4685A287">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（九）</w:t>
      </w:r>
      <w:r>
        <w:rPr>
          <w:rFonts w:hint="eastAsia" w:ascii="Times New Roman" w:hAnsi="Times New Roman" w:eastAsia="宋体" w:cs="Times New Roman"/>
          <w:b/>
          <w:bCs/>
          <w:color w:val="auto"/>
          <w:kern w:val="44"/>
          <w:sz w:val="30"/>
          <w:szCs w:val="32"/>
          <w:highlight w:val="none"/>
          <w:lang w:val="en-US" w:eastAsia="zh-CN" w:bidi="ar-SA"/>
        </w:rPr>
        <w:t>软件源代码要求</w:t>
      </w:r>
    </w:p>
    <w:p w14:paraId="7AA30D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1.中标人需向</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en-US" w:eastAsia="zh"/>
          <w:woUserID w:val="3"/>
        </w:rPr>
        <w:t>项目</w:t>
      </w:r>
      <w:r>
        <w:rPr>
          <w:rFonts w:hint="eastAsia" w:ascii="宋体" w:hAnsi="宋体" w:eastAsia="宋体" w:cs="宋体"/>
          <w:b w:val="0"/>
          <w:bCs w:val="0"/>
          <w:color w:val="auto"/>
          <w:sz w:val="24"/>
          <w:szCs w:val="24"/>
          <w:highlight w:val="none"/>
          <w:lang w:val="en-US" w:eastAsia="zh"/>
          <w:woUserID w:val="4"/>
        </w:rPr>
        <w:t>最终版本的</w:t>
      </w:r>
      <w:r>
        <w:rPr>
          <w:rFonts w:hint="eastAsia" w:ascii="宋体" w:hAnsi="宋体" w:eastAsia="宋体" w:cs="宋体"/>
          <w:b w:val="0"/>
          <w:bCs w:val="0"/>
          <w:color w:val="auto"/>
          <w:sz w:val="24"/>
          <w:szCs w:val="24"/>
          <w:highlight w:val="none"/>
          <w:lang w:val="en-US" w:eastAsia="zh-CN"/>
        </w:rPr>
        <w:t>所有</w:t>
      </w:r>
      <w:r>
        <w:rPr>
          <w:rFonts w:hint="eastAsia" w:ascii="宋体" w:hAnsi="宋体" w:eastAsia="宋体" w:cs="宋体"/>
          <w:b w:val="0"/>
          <w:bCs w:val="0"/>
          <w:color w:val="auto"/>
          <w:sz w:val="24"/>
          <w:szCs w:val="24"/>
          <w:highlight w:val="none"/>
          <w:lang w:val="en-US" w:eastAsia="zh"/>
          <w:woUserID w:val="3"/>
        </w:rPr>
        <w:t>源代码（</w:t>
      </w:r>
      <w:r>
        <w:rPr>
          <w:rFonts w:hint="eastAsia" w:ascii="宋体" w:hAnsi="宋体" w:eastAsia="宋体" w:cs="宋体"/>
          <w:b w:val="0"/>
          <w:bCs w:val="0"/>
          <w:color w:val="auto"/>
          <w:sz w:val="24"/>
          <w:szCs w:val="24"/>
          <w:highlight w:val="none"/>
          <w:lang w:val="en-US" w:eastAsia="zh"/>
          <w:woUserID w:val="4"/>
        </w:rPr>
        <w:t>源代码必须是完整、可编译、可构建的</w:t>
      </w:r>
      <w:r>
        <w:rPr>
          <w:rFonts w:hint="eastAsia" w:ascii="宋体" w:hAnsi="宋体" w:eastAsia="宋体" w:cs="宋体"/>
          <w:b w:val="0"/>
          <w:bCs w:val="0"/>
          <w:color w:val="auto"/>
          <w:sz w:val="24"/>
          <w:szCs w:val="24"/>
          <w:highlight w:val="none"/>
          <w:lang w:val="en-US" w:eastAsia="zh"/>
          <w:woUserID w:val="3"/>
        </w:rPr>
        <w:t>）</w:t>
      </w:r>
      <w:r>
        <w:rPr>
          <w:rFonts w:hint="eastAsia" w:ascii="宋体" w:hAnsi="宋体" w:eastAsia="宋体" w:cs="宋体"/>
          <w:b w:val="0"/>
          <w:bCs w:val="0"/>
          <w:color w:val="auto"/>
          <w:sz w:val="24"/>
          <w:szCs w:val="24"/>
          <w:highlight w:val="none"/>
          <w:lang w:val="en-US" w:eastAsia="zh"/>
          <w:woUserID w:val="4"/>
        </w:rPr>
        <w:t>，</w:t>
      </w:r>
      <w:r>
        <w:rPr>
          <w:rFonts w:hint="eastAsia" w:ascii="宋体" w:hAnsi="宋体" w:eastAsia="宋体" w:cs="宋体"/>
          <w:b w:val="0"/>
          <w:bCs w:val="0"/>
          <w:color w:val="auto"/>
          <w:sz w:val="24"/>
          <w:szCs w:val="24"/>
          <w:highlight w:val="none"/>
          <w:lang w:val="en-US" w:eastAsia="zh"/>
          <w:woUserID w:val="3"/>
        </w:rPr>
        <w:t>项目开发文档（包含且不限于软件架构图、源码注释、数据库字段详细描述等）</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
          <w:woUserID w:val="3"/>
        </w:rPr>
        <w:t>方便招标人进行二次开发，源码中涉及的第三方中间件等授权</w:t>
      </w:r>
      <w:r>
        <w:rPr>
          <w:rFonts w:hint="eastAsia" w:ascii="宋体" w:hAnsi="宋体" w:eastAsia="宋体" w:cs="宋体"/>
          <w:b w:val="0"/>
          <w:bCs w:val="0"/>
          <w:color w:val="auto"/>
          <w:sz w:val="24"/>
          <w:szCs w:val="24"/>
          <w:highlight w:val="none"/>
          <w:lang w:val="en-US" w:eastAsia="zh"/>
          <w:woUserID w:val="4"/>
        </w:rPr>
        <w:t>由中标人提供，招标人不再另行支付费用。</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25FB288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
          <w:woUserID w:val="4"/>
        </w:rPr>
        <w:t>(a)</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享有所</w:t>
      </w:r>
      <w:r>
        <w:rPr>
          <w:rFonts w:hint="eastAsia" w:ascii="宋体" w:hAnsi="宋体" w:eastAsia="宋体" w:cs="宋体"/>
          <w:b w:val="0"/>
          <w:bCs w:val="0"/>
          <w:color w:val="auto"/>
          <w:sz w:val="24"/>
          <w:szCs w:val="24"/>
          <w:highlight w:val="none"/>
          <w:lang w:val="en-US" w:eastAsia="zh"/>
          <w:woUserID w:val="4"/>
        </w:rPr>
        <w:t>所</w:t>
      </w:r>
      <w:r>
        <w:rPr>
          <w:rFonts w:hint="eastAsia" w:ascii="宋体" w:hAnsi="宋体" w:eastAsia="宋体" w:cs="宋体"/>
          <w:b w:val="0"/>
          <w:bCs w:val="0"/>
          <w:color w:val="auto"/>
          <w:sz w:val="24"/>
          <w:szCs w:val="24"/>
          <w:highlight w:val="none"/>
          <w:lang w:val="en-US" w:eastAsia="zh-CN"/>
        </w:rPr>
        <w:t>购软件</w:t>
      </w:r>
      <w:r>
        <w:rPr>
          <w:rFonts w:hint="eastAsia" w:ascii="宋体" w:hAnsi="宋体" w:eastAsia="宋体" w:cs="宋体"/>
          <w:b w:val="0"/>
          <w:bCs w:val="0"/>
          <w:color w:val="auto"/>
          <w:sz w:val="24"/>
          <w:szCs w:val="24"/>
          <w:highlight w:val="none"/>
          <w:lang w:val="en-US" w:eastAsia="zh"/>
          <w:woUserID w:val="4"/>
        </w:rPr>
        <w:t>(含源代码)</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
          <w:woUserID w:val="4"/>
        </w:rPr>
        <w:t>所有</w:t>
      </w:r>
      <w:r>
        <w:rPr>
          <w:rFonts w:hint="eastAsia" w:ascii="宋体" w:hAnsi="宋体" w:eastAsia="宋体" w:cs="宋体"/>
          <w:b w:val="0"/>
          <w:bCs w:val="0"/>
          <w:color w:val="auto"/>
          <w:sz w:val="24"/>
          <w:szCs w:val="24"/>
          <w:highlight w:val="none"/>
          <w:lang w:val="en-US" w:eastAsia="zh-CN"/>
        </w:rPr>
        <w:t>权，</w:t>
      </w:r>
      <w:r>
        <w:rPr>
          <w:rFonts w:hint="eastAsia" w:ascii="宋体" w:hAnsi="宋体" w:eastAsia="宋体" w:cs="宋体"/>
          <w:b w:val="0"/>
          <w:bCs w:val="0"/>
          <w:color w:val="auto"/>
          <w:sz w:val="24"/>
          <w:szCs w:val="24"/>
          <w:highlight w:val="none"/>
          <w:lang w:val="en-US" w:eastAsia="zh"/>
          <w:woUserID w:val="4"/>
        </w:rPr>
        <w:t>拥有项目成果的全部知识产权。</w:t>
      </w:r>
      <w:r>
        <w:rPr>
          <w:rFonts w:hint="eastAsia" w:ascii="宋体" w:hAnsi="宋体" w:eastAsia="宋体" w:cs="宋体"/>
          <w:b w:val="0"/>
          <w:bCs w:val="0"/>
          <w:color w:val="auto"/>
          <w:sz w:val="24"/>
          <w:szCs w:val="24"/>
          <w:highlight w:val="none"/>
          <w:lang w:val="en-US" w:eastAsia="zh-CN"/>
        </w:rPr>
        <w:t>中标人在提供软件后，不得再对该软件的</w:t>
      </w:r>
      <w:r>
        <w:rPr>
          <w:rFonts w:hint="eastAsia" w:ascii="宋体" w:hAnsi="宋体" w:eastAsia="宋体" w:cs="宋体"/>
          <w:b w:val="0"/>
          <w:bCs w:val="0"/>
          <w:color w:val="auto"/>
          <w:sz w:val="24"/>
          <w:szCs w:val="24"/>
          <w:highlight w:val="none"/>
          <w:lang w:val="en-US" w:eastAsia="zh"/>
          <w:woUserID w:val="4"/>
        </w:rPr>
        <w:t>所有</w:t>
      </w:r>
      <w:r>
        <w:rPr>
          <w:rFonts w:hint="eastAsia" w:ascii="宋体" w:hAnsi="宋体" w:eastAsia="宋体" w:cs="宋体"/>
          <w:b w:val="0"/>
          <w:bCs w:val="0"/>
          <w:color w:val="auto"/>
          <w:sz w:val="24"/>
          <w:szCs w:val="24"/>
          <w:highlight w:val="none"/>
          <w:lang w:val="en-US" w:eastAsia="zh-CN"/>
        </w:rPr>
        <w:t>权进行任何侵犯或转让行为。中标人提供的软件源码应符合相关技术标准和规范，确保其可被有效使用、维护和修改。</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6ECD066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
          <w:woUserID w:val="4"/>
        </w:rPr>
      </w:pPr>
      <w:r>
        <w:rPr>
          <w:rFonts w:hint="eastAsia" w:ascii="宋体" w:hAnsi="宋体" w:eastAsia="宋体" w:cs="宋体"/>
          <w:b w:val="0"/>
          <w:bCs w:val="0"/>
          <w:color w:val="auto"/>
          <w:sz w:val="24"/>
          <w:szCs w:val="24"/>
          <w:highlight w:val="none"/>
          <w:lang w:val="en-US" w:eastAsia="zh-CN"/>
          <w:woUserID w:val="4"/>
        </w:rPr>
        <w:t>2.</w:t>
      </w:r>
      <w:r>
        <w:rPr>
          <w:rFonts w:hint="eastAsia" w:ascii="宋体" w:hAnsi="宋体" w:eastAsia="宋体" w:cs="宋体"/>
          <w:b w:val="0"/>
          <w:bCs w:val="0"/>
          <w:color w:val="auto"/>
          <w:sz w:val="24"/>
          <w:szCs w:val="24"/>
          <w:highlight w:val="none"/>
          <w:lang w:val="en-US" w:eastAsia="zh"/>
          <w:woUserID w:val="4"/>
        </w:rPr>
        <w:t>(b)由中标人保留软件(含源代码)</w:t>
      </w:r>
      <w:r>
        <w:rPr>
          <w:rFonts w:hint="eastAsia" w:ascii="宋体" w:hAnsi="宋体" w:eastAsia="宋体" w:cs="宋体"/>
          <w:b w:val="0"/>
          <w:bCs w:val="0"/>
          <w:color w:val="auto"/>
          <w:sz w:val="24"/>
          <w:szCs w:val="24"/>
          <w:highlight w:val="none"/>
          <w:lang w:val="en-US" w:eastAsia="zh-CN"/>
          <w:woUserID w:val="4"/>
        </w:rPr>
        <w:t>的</w:t>
      </w:r>
      <w:r>
        <w:rPr>
          <w:rFonts w:hint="eastAsia" w:ascii="宋体" w:hAnsi="宋体" w:eastAsia="宋体" w:cs="宋体"/>
          <w:b w:val="0"/>
          <w:bCs w:val="0"/>
          <w:color w:val="auto"/>
          <w:sz w:val="24"/>
          <w:szCs w:val="24"/>
          <w:highlight w:val="none"/>
          <w:lang w:val="en-US" w:eastAsia="zh"/>
          <w:woUserID w:val="4"/>
        </w:rPr>
        <w:t>所有</w:t>
      </w:r>
      <w:r>
        <w:rPr>
          <w:rFonts w:hint="eastAsia" w:ascii="宋体" w:hAnsi="宋体" w:eastAsia="宋体" w:cs="宋体"/>
          <w:b w:val="0"/>
          <w:bCs w:val="0"/>
          <w:color w:val="auto"/>
          <w:sz w:val="24"/>
          <w:szCs w:val="24"/>
          <w:highlight w:val="none"/>
          <w:lang w:val="en-US" w:eastAsia="zh-CN"/>
          <w:woUserID w:val="4"/>
        </w:rPr>
        <w:t>权，</w:t>
      </w:r>
      <w:r>
        <w:rPr>
          <w:rFonts w:hint="eastAsia" w:ascii="宋体" w:hAnsi="宋体" w:eastAsia="宋体" w:cs="宋体"/>
          <w:b w:val="0"/>
          <w:bCs w:val="0"/>
          <w:color w:val="auto"/>
          <w:sz w:val="24"/>
          <w:szCs w:val="24"/>
          <w:highlight w:val="none"/>
          <w:lang w:val="en-US" w:eastAsia="zh"/>
          <w:woUserID w:val="4"/>
        </w:rPr>
        <w:t>但招标人享有所购软件的永久使用权，中标人不得以任何理由任何形式中断招标人使用该软件或该软件任意功能的权限。</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1BF4760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有权对中标人提供的软件源码进行检查、审核和验证，以确保其真实性和完整性。若中标人未能按时提供软件源码或提供的源码存在质量问题，</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有权要求中标人进行整改或采取其他补救措施，直至满足要求为止。同时，中标人应承担因未能按时提供或提供的源码存在问题而导致的一切损失和责任。</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rPr>
        <w:t>提供承诺函，未提供的按无效投标处理）</w:t>
      </w:r>
    </w:p>
    <w:p w14:paraId="06CD4ACB">
      <w:pPr>
        <w:spacing w:line="360" w:lineRule="auto"/>
        <w:ind w:firstLine="480" w:firstLineChars="200"/>
        <w:rPr>
          <w:rFonts w:hint="eastAsia" w:ascii="宋体" w:hAnsi="宋体" w:eastAsia="宋体" w:cs="宋体"/>
          <w:b w:val="0"/>
          <w:bCs w:val="0"/>
          <w:color w:val="auto"/>
          <w:kern w:val="2"/>
          <w:sz w:val="24"/>
          <w:szCs w:val="24"/>
          <w:highlight w:val="none"/>
          <w:lang w:val="en-US" w:eastAsia="zh" w:bidi="ar-SA"/>
          <w:woUserID w:val="4"/>
        </w:rPr>
      </w:pPr>
      <w:r>
        <w:rPr>
          <w:rFonts w:hint="eastAsia" w:ascii="宋体" w:hAnsi="宋体" w:eastAsia="宋体" w:cs="宋体"/>
          <w:b w:val="0"/>
          <w:bCs w:val="0"/>
          <w:color w:val="auto"/>
          <w:kern w:val="2"/>
          <w:sz w:val="24"/>
          <w:szCs w:val="24"/>
          <w:highlight w:val="none"/>
          <w:lang w:val="en-US" w:eastAsia="zh" w:bidi="ar-SA"/>
        </w:rPr>
        <w:t>4</w:t>
      </w:r>
      <w:r>
        <w:rPr>
          <w:rFonts w:hint="eastAsia" w:ascii="宋体" w:hAnsi="宋体" w:eastAsia="宋体" w:cs="宋体"/>
          <w:b w:val="0"/>
          <w:bCs w:val="0"/>
          <w:color w:val="auto"/>
          <w:kern w:val="2"/>
          <w:sz w:val="24"/>
          <w:szCs w:val="24"/>
          <w:highlight w:val="none"/>
          <w:lang w:val="en-US" w:eastAsia="zh" w:bidi="ar-SA"/>
          <w:woUserID w:val="4"/>
        </w:rPr>
        <w:t>.中标人应确保交付的源代码不侵犯任何第三方知识产权（包含开源协议），因此产生的侵权责任和损失由中标人承担。</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3B711531">
      <w:pPr>
        <w:pStyle w:val="2"/>
        <w:spacing w:line="360" w:lineRule="auto"/>
        <w:ind w:firstLine="480" w:firstLineChars="200"/>
        <w:rPr>
          <w:rFonts w:hint="eastAsia" w:ascii="宋体" w:hAnsi="宋体" w:eastAsia="宋体" w:cs="宋体"/>
          <w:color w:val="auto"/>
          <w:sz w:val="24"/>
          <w:szCs w:val="24"/>
          <w:highlight w:val="none"/>
          <w:lang w:val="en-US" w:eastAsia="zh"/>
          <w:woUserID w:val="4"/>
        </w:rPr>
      </w:pPr>
      <w:r>
        <w:rPr>
          <w:rFonts w:hint="eastAsia" w:ascii="宋体" w:hAnsi="宋体" w:eastAsia="宋体" w:cs="宋体"/>
          <w:b w:val="0"/>
          <w:bCs w:val="0"/>
          <w:color w:val="auto"/>
          <w:kern w:val="2"/>
          <w:sz w:val="24"/>
          <w:szCs w:val="24"/>
          <w:highlight w:val="none"/>
          <w:lang w:val="en-US" w:eastAsia="zh" w:bidi="ar-SA"/>
          <w:woUserID w:val="4"/>
        </w:rPr>
        <w:t>5.合同维保期内，中标人进行更新维护和衍生开发所产生的的源代码也应交予招标人，知识产权归属参照本条第二款。</w:t>
      </w:r>
      <w:r>
        <w:rPr>
          <w:rFonts w:hint="eastAsia" w:ascii="宋体" w:hAnsi="宋体" w:eastAsia="宋体" w:cs="宋体"/>
          <w:b/>
          <w:bCs/>
          <w:color w:val="auto"/>
          <w:sz w:val="24"/>
          <w:szCs w:val="24"/>
          <w:highlight w:val="none"/>
          <w:lang w:val="en-US" w:eastAsia="zh-CN"/>
          <w:woUserID w:val="4"/>
        </w:rPr>
        <w:t>（</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val="en-US" w:eastAsia="zh-CN"/>
          <w:woUserID w:val="4"/>
        </w:rPr>
        <w:t>提供承诺函，未提供的按无效投标处理）</w:t>
      </w:r>
    </w:p>
    <w:p w14:paraId="7782A072">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（十）</w:t>
      </w:r>
      <w:r>
        <w:rPr>
          <w:rFonts w:hint="eastAsia" w:ascii="Times New Roman" w:hAnsi="Times New Roman" w:eastAsia="宋体" w:cs="Times New Roman"/>
          <w:b/>
          <w:bCs/>
          <w:color w:val="auto"/>
          <w:kern w:val="44"/>
          <w:sz w:val="30"/>
          <w:szCs w:val="32"/>
          <w:highlight w:val="none"/>
          <w:lang w:val="en-US" w:eastAsia="zh-CN" w:bidi="ar-SA"/>
        </w:rPr>
        <w:t>系统安全要求</w:t>
      </w:r>
    </w:p>
    <w:p w14:paraId="6C5AE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1、认证授权：保证用户的合法性和用户使用信息资源的权力，避免内部敏感信息泄漏和服务所提供的信息资源被非法访问，造成严重的安全事件。</w:t>
      </w:r>
    </w:p>
    <w:p w14:paraId="04B2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2、信息保密：充分利用密码技术，对于需要保密的信息，采用密码技术进行加解密处理，防止信息的非授权泄漏，确保涉密信息在产生.存储.传递和处理过程中的保密。中标人须在签订合同时，与</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签订保密协议，并作为合同附件。</w:t>
      </w:r>
    </w:p>
    <w:p w14:paraId="73788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3、数据完整性：建立数据完整性检验机制，保证收发双方数据的一致性，防止信息被非授权修改。</w:t>
      </w:r>
    </w:p>
    <w:p w14:paraId="32F72C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4、数据迁移：若中标人合同服务期满后无再次续签的，中标人应将平台内所有数据导出，完整交付</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w:t>
      </w:r>
    </w:p>
    <w:p w14:paraId="73E94CC7">
      <w:pPr>
        <w:pStyle w:val="2"/>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5、本项目系统的开发、建设、运维应符合国产化、网络安全等级保护三级及国家商用密码应用三级标准，中标人须无条件配合</w:t>
      </w:r>
      <w:r>
        <w:rPr>
          <w:rFonts w:hint="eastAsia" w:ascii="宋体" w:hAnsi="宋体" w:eastAsia="宋体" w:cs="宋体"/>
          <w:b w:val="0"/>
          <w:bCs w:val="0"/>
          <w:color w:val="auto"/>
          <w:sz w:val="24"/>
          <w:szCs w:val="24"/>
          <w:highlight w:val="none"/>
          <w:lang w:val="en-US" w:eastAsia="zh"/>
        </w:rPr>
        <w:t>招标人</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
          <w:woUserID w:val="4"/>
        </w:rPr>
        <w:t>性能和</w:t>
      </w:r>
      <w:r>
        <w:rPr>
          <w:rFonts w:hint="eastAsia" w:ascii="宋体" w:hAnsi="宋体" w:eastAsia="宋体" w:cs="宋体"/>
          <w:b w:val="0"/>
          <w:bCs w:val="0"/>
          <w:color w:val="auto"/>
          <w:sz w:val="24"/>
          <w:szCs w:val="24"/>
          <w:highlight w:val="none"/>
          <w:lang w:val="en-US" w:eastAsia="zh-CN"/>
        </w:rPr>
        <w:t>安全</w:t>
      </w:r>
      <w:r>
        <w:rPr>
          <w:rFonts w:hint="eastAsia" w:ascii="宋体" w:hAnsi="宋体" w:eastAsia="宋体" w:cs="宋体"/>
          <w:b w:val="0"/>
          <w:bCs w:val="0"/>
          <w:color w:val="auto"/>
          <w:sz w:val="24"/>
          <w:szCs w:val="24"/>
          <w:highlight w:val="none"/>
          <w:lang w:val="en-US" w:eastAsia="zh"/>
          <w:woUserID w:val="4"/>
        </w:rPr>
        <w:t>测试</w:t>
      </w:r>
      <w:r>
        <w:rPr>
          <w:rFonts w:hint="eastAsia" w:ascii="宋体" w:hAnsi="宋体" w:eastAsia="宋体" w:cs="宋体"/>
          <w:b w:val="0"/>
          <w:bCs w:val="0"/>
          <w:color w:val="auto"/>
          <w:sz w:val="24"/>
          <w:szCs w:val="24"/>
          <w:highlight w:val="none"/>
          <w:lang w:val="en-US" w:eastAsia="zh-CN"/>
        </w:rPr>
        <w:t>、密码测评工作，必须按照安全公司相关要求进行整改。</w:t>
      </w:r>
      <w:r>
        <w:rPr>
          <w:rFonts w:hint="eastAsia" w:ascii="宋体" w:hAnsi="宋体" w:eastAsia="宋体" w:cs="宋体"/>
          <w:b/>
          <w:bCs/>
          <w:color w:val="auto"/>
          <w:sz w:val="24"/>
          <w:szCs w:val="24"/>
          <w:highlight w:val="none"/>
          <w:lang w:val="en-US" w:eastAsia="zh-CN"/>
        </w:rPr>
        <w:t>（投标人须提供承诺函，未提供的按无效投标处理）</w:t>
      </w:r>
      <w:r>
        <w:rPr>
          <w:rFonts w:hint="eastAsia" w:ascii="宋体" w:hAnsi="宋体" w:eastAsia="宋体" w:cs="宋体"/>
          <w:b w:val="0"/>
          <w:bCs w:val="0"/>
          <w:color w:val="auto"/>
          <w:sz w:val="24"/>
          <w:szCs w:val="24"/>
          <w:highlight w:val="none"/>
          <w:lang w:val="en-US" w:eastAsia="zh-CN"/>
        </w:rPr>
        <w:t xml:space="preserve"> </w:t>
      </w:r>
    </w:p>
    <w:p w14:paraId="135EB6AE">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trike/>
          <w:dstrike w:val="0"/>
          <w:color w:val="auto"/>
          <w:kern w:val="2"/>
          <w:sz w:val="24"/>
          <w:szCs w:val="24"/>
          <w:highlight w:val="none"/>
          <w:lang w:val="en-US" w:eastAsia="zh" w:bidi="ar-SA"/>
          <w:woUserID w:val="4"/>
        </w:rPr>
      </w:pPr>
      <w:r>
        <w:rPr>
          <w:rFonts w:hint="eastAsia" w:ascii="Times New Roman" w:hAnsi="Times New Roman" w:cs="Times New Roman"/>
          <w:b/>
          <w:bCs/>
          <w:color w:val="auto"/>
          <w:kern w:val="44"/>
          <w:sz w:val="30"/>
          <w:szCs w:val="32"/>
          <w:highlight w:val="none"/>
          <w:lang w:val="en-US" w:eastAsia="zh-CN" w:bidi="ar-SA"/>
        </w:rPr>
        <w:t>（十一）</w:t>
      </w:r>
      <w:r>
        <w:rPr>
          <w:rFonts w:hint="eastAsia" w:ascii="Times New Roman" w:hAnsi="Times New Roman" w:eastAsia="宋体" w:cs="Times New Roman"/>
          <w:b/>
          <w:bCs/>
          <w:color w:val="auto"/>
          <w:kern w:val="44"/>
          <w:sz w:val="30"/>
          <w:szCs w:val="32"/>
          <w:highlight w:val="none"/>
          <w:lang w:val="en-US" w:eastAsia="zh-CN" w:bidi="ar-SA"/>
        </w:rPr>
        <w:t>国产化要求</w:t>
      </w:r>
    </w:p>
    <w:p w14:paraId="08168277">
      <w:pPr>
        <w:pStyle w:val="2"/>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所提供的业务软件应满足服务端的国产化硬件适配要求，可适配国产化CPU、国产化服务器；应实现国产操作系统适配，支持国产主流操作系统，应当从系统运行的速度、效率、安全性、稳定性等角度实现系统适配；应实现国产数据库适配，必须支持GaussDB、TaurusDB、达梦等在内的主流数据库的适配；应实现国产中间件适配，支持东方通、金蝶天燕等在内的主流中间件的适配；应支持火狐、谷歌等浏览器，以及奇虎360、奇安信等国产浏览器；应支持包括国产化终端与非国产化终端在内的多种办公终端，从而确保在复杂生态下的业务处理连续性。</w:t>
      </w:r>
      <w:r>
        <w:rPr>
          <w:rFonts w:hint="eastAsia" w:ascii="宋体" w:hAnsi="宋体" w:eastAsia="宋体" w:cs="宋体"/>
          <w:b/>
          <w:bCs/>
          <w:color w:val="auto"/>
          <w:sz w:val="24"/>
          <w:szCs w:val="24"/>
          <w:highlight w:val="none"/>
          <w:lang w:val="en-US" w:eastAsia="zh-CN"/>
        </w:rPr>
        <w:t>（投标人须提供承诺函，未提供的按无效投标处理）</w:t>
      </w:r>
      <w:r>
        <w:rPr>
          <w:rFonts w:hint="eastAsia" w:ascii="宋体" w:hAnsi="宋体" w:eastAsia="宋体" w:cs="宋体"/>
          <w:b w:val="0"/>
          <w:bCs w:val="0"/>
          <w:color w:val="auto"/>
          <w:sz w:val="24"/>
          <w:szCs w:val="24"/>
          <w:highlight w:val="none"/>
          <w:lang w:val="en-US" w:eastAsia="zh-CN"/>
        </w:rPr>
        <w:t xml:space="preserve"> </w:t>
      </w:r>
    </w:p>
    <w:p w14:paraId="665B7213">
      <w:pPr>
        <w:pStyle w:val="4"/>
        <w:pageBreakBefore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b/>
          <w:bCs/>
          <w:color w:val="auto"/>
          <w:kern w:val="44"/>
          <w:sz w:val="30"/>
          <w:szCs w:val="32"/>
          <w:highlight w:val="none"/>
          <w:lang w:val="en-US" w:eastAsia="zh-CN" w:bidi="ar-SA"/>
        </w:rPr>
      </w:pPr>
      <w:r>
        <w:rPr>
          <w:rFonts w:hint="eastAsia" w:ascii="Times New Roman" w:hAnsi="Times New Roman" w:cs="Times New Roman"/>
          <w:b/>
          <w:bCs/>
          <w:color w:val="auto"/>
          <w:kern w:val="44"/>
          <w:sz w:val="30"/>
          <w:szCs w:val="32"/>
          <w:highlight w:val="none"/>
          <w:lang w:val="en-US" w:eastAsia="zh-CN" w:bidi="ar-SA"/>
        </w:rPr>
        <w:t>（十二）</w:t>
      </w:r>
      <w:r>
        <w:rPr>
          <w:rFonts w:hint="eastAsia" w:ascii="Times New Roman" w:hAnsi="Times New Roman" w:eastAsia="宋体" w:cs="Times New Roman"/>
          <w:b/>
          <w:bCs/>
          <w:color w:val="auto"/>
          <w:kern w:val="44"/>
          <w:sz w:val="30"/>
          <w:szCs w:val="32"/>
          <w:highlight w:val="none"/>
          <w:lang w:val="en-US" w:eastAsia="zh-CN" w:bidi="ar-SA"/>
        </w:rPr>
        <w:t>第三方软件授权要求</w:t>
      </w:r>
    </w:p>
    <w:p w14:paraId="6AEEEED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须提供本项目正常运转所必须的全部系统软件、插件等，确保系统按时、正常运行。产品中采用的第三方软件由中标人自行购买安装，如出现软件侵权行为，由中标人负责，与招标人无关。中标人需保证对招标人提供本项目、本系统、平台正常运行各类软件、中间件、插件、应用程序等给予终身授权、注册使用，不得再收取或者产生相关联费用。</w:t>
      </w:r>
      <w:r>
        <w:rPr>
          <w:rFonts w:hint="eastAsia" w:ascii="宋体" w:hAnsi="宋体" w:eastAsia="宋体" w:cs="宋体"/>
          <w:b/>
          <w:bCs/>
          <w:color w:val="auto"/>
          <w:sz w:val="24"/>
          <w:szCs w:val="24"/>
          <w:highlight w:val="none"/>
          <w:lang w:val="en-US" w:eastAsia="zh-CN"/>
        </w:rPr>
        <w:t>（投标人须提供承诺函，未提供按照无效投标处理）</w:t>
      </w:r>
    </w:p>
    <w:p w14:paraId="593C3463">
      <w:pPr>
        <w:pStyle w:val="3"/>
        <w:bidi w:val="0"/>
        <w:jc w:val="both"/>
        <w:rPr>
          <w:rFonts w:hint="eastAsia"/>
          <w:color w:val="auto"/>
          <w:highlight w:val="none"/>
        </w:rPr>
      </w:pPr>
      <w:bookmarkStart w:id="103" w:name="_Toc9318"/>
      <w:r>
        <w:rPr>
          <w:rFonts w:hint="eastAsia"/>
          <w:color w:val="auto"/>
          <w:highlight w:val="none"/>
        </w:rPr>
        <w:t>三、商务条件（</w:t>
      </w:r>
      <w:r>
        <w:rPr>
          <w:rFonts w:hint="eastAsia"/>
          <w:color w:val="auto"/>
          <w:highlight w:val="none"/>
          <w:lang w:eastAsia="zh-CN"/>
        </w:rPr>
        <w:t>以下所有内容均</w:t>
      </w:r>
      <w:r>
        <w:rPr>
          <w:rFonts w:hint="eastAsia"/>
          <w:color w:val="auto"/>
          <w:highlight w:val="none"/>
        </w:rPr>
        <w:t>为不允许负偏离的实质性要求）</w:t>
      </w:r>
      <w:bookmarkEnd w:id="103"/>
    </w:p>
    <w:p w14:paraId="0AAEA067">
      <w:pPr>
        <w:pStyle w:val="53"/>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、交付</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0"/>
          <w:sz w:val="24"/>
          <w:highlight w:val="none"/>
          <w:lang w:eastAsia="zh-CN"/>
        </w:rPr>
        <w:t>合同签订后1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个月内完成项目最终验收。</w:t>
      </w:r>
    </w:p>
    <w:p w14:paraId="0C71DAD6">
      <w:pPr>
        <w:pStyle w:val="53"/>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、交付</w:t>
      </w:r>
      <w:r>
        <w:rPr>
          <w:rFonts w:hint="eastAsia" w:ascii="宋体" w:hAnsi="宋体" w:eastAsia="宋体" w:cs="宋体"/>
          <w:b/>
          <w:bCs/>
          <w:color w:val="auto"/>
          <w:sz w:val="24"/>
          <w:szCs w:val="24"/>
          <w:highlight w:val="none"/>
        </w:rPr>
        <w:t>地点</w:t>
      </w:r>
      <w:r>
        <w:rPr>
          <w:rFonts w:hint="eastAsia" w:ascii="宋体" w:hAnsi="宋体" w:eastAsia="宋体" w:cs="宋体"/>
          <w:b/>
          <w:bCs/>
          <w:color w:val="auto"/>
          <w:sz w:val="24"/>
          <w:szCs w:val="24"/>
          <w:highlight w:val="none"/>
          <w:lang w:eastAsia="zh-CN"/>
        </w:rPr>
        <w:t>：</w:t>
      </w:r>
      <w:r>
        <w:rPr>
          <w:rFonts w:hint="eastAsia" w:ascii="宋体" w:hAnsi="宋体" w:cs="宋体"/>
          <w:color w:val="auto"/>
          <w:kern w:val="0"/>
          <w:sz w:val="24"/>
          <w:highlight w:val="none"/>
        </w:rPr>
        <w:t>福州市鼓楼区杨桥中路146号</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指定地点</w:t>
      </w:r>
      <w:r>
        <w:rPr>
          <w:rFonts w:hint="eastAsia" w:ascii="宋体" w:hAnsi="宋体" w:eastAsia="宋体" w:cs="宋体"/>
          <w:b w:val="0"/>
          <w:bCs w:val="0"/>
          <w:color w:val="auto"/>
          <w:sz w:val="24"/>
          <w:szCs w:val="24"/>
          <w:highlight w:val="none"/>
          <w:lang w:eastAsia="zh-CN"/>
        </w:rPr>
        <w:t>。</w:t>
      </w:r>
    </w:p>
    <w:p w14:paraId="34FAD316">
      <w:pPr>
        <w:pStyle w:val="53"/>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、交付</w:t>
      </w:r>
      <w:r>
        <w:rPr>
          <w:rFonts w:hint="eastAsia" w:ascii="宋体" w:hAnsi="宋体" w:eastAsia="宋体" w:cs="宋体"/>
          <w:b/>
          <w:bCs/>
          <w:color w:val="auto"/>
          <w:sz w:val="24"/>
          <w:szCs w:val="24"/>
          <w:highlight w:val="none"/>
        </w:rPr>
        <w:t>条件</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通过项目验收</w:t>
      </w:r>
      <w:r>
        <w:rPr>
          <w:rFonts w:hint="eastAsia" w:ascii="宋体" w:hAnsi="宋体" w:eastAsia="宋体" w:cs="宋体"/>
          <w:b w:val="0"/>
          <w:bCs w:val="0"/>
          <w:color w:val="auto"/>
          <w:sz w:val="24"/>
          <w:szCs w:val="24"/>
          <w:highlight w:val="none"/>
          <w:lang w:eastAsia="zh-CN"/>
        </w:rPr>
        <w:t>。</w:t>
      </w:r>
    </w:p>
    <w:p w14:paraId="0AC08A6D">
      <w:pPr>
        <w:pStyle w:val="53"/>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是否邀请投标人验收</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不邀请投标人验收</w:t>
      </w:r>
      <w:r>
        <w:rPr>
          <w:rFonts w:hint="eastAsia" w:ascii="宋体" w:hAnsi="宋体" w:eastAsia="宋体" w:cs="宋体"/>
          <w:b w:val="0"/>
          <w:bCs w:val="0"/>
          <w:color w:val="auto"/>
          <w:sz w:val="24"/>
          <w:szCs w:val="24"/>
          <w:highlight w:val="none"/>
          <w:lang w:eastAsia="zh-CN"/>
        </w:rPr>
        <w:t>。</w:t>
      </w:r>
    </w:p>
    <w:p w14:paraId="269D128B">
      <w:pPr>
        <w:pStyle w:val="53"/>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合同支付方式</w:t>
      </w:r>
      <w:r>
        <w:rPr>
          <w:rFonts w:hint="eastAsia" w:ascii="宋体" w:hAnsi="宋体" w:eastAsia="宋体" w:cs="宋体"/>
          <w:b/>
          <w:bCs/>
          <w:color w:val="auto"/>
          <w:sz w:val="24"/>
          <w:szCs w:val="24"/>
          <w:highlight w:val="none"/>
          <w:lang w:eastAsia="zh-CN"/>
        </w:rPr>
        <w:t>：</w:t>
      </w:r>
    </w:p>
    <w:p w14:paraId="25452977">
      <w:pPr>
        <w:pStyle w:val="53"/>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系统在</w:t>
      </w:r>
      <w:r>
        <w:rPr>
          <w:rFonts w:hint="eastAsia" w:ascii="宋体" w:hAnsi="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单位全面推广应用，经</w:t>
      </w:r>
      <w:r>
        <w:rPr>
          <w:rFonts w:hint="eastAsia" w:ascii="宋体" w:hAnsi="宋体" w:eastAsia="宋体" w:cs="宋体"/>
          <w:b w:val="0"/>
          <w:bCs w:val="0"/>
          <w:color w:val="auto"/>
          <w:sz w:val="24"/>
          <w:szCs w:val="24"/>
          <w:highlight w:val="none"/>
          <w:lang w:eastAsia="zh-CN"/>
        </w:rPr>
        <w:t>招标人初步</w:t>
      </w:r>
      <w:r>
        <w:rPr>
          <w:rFonts w:hint="eastAsia" w:ascii="宋体" w:hAnsi="宋体" w:eastAsia="宋体" w:cs="宋体"/>
          <w:b w:val="0"/>
          <w:bCs w:val="0"/>
          <w:color w:val="auto"/>
          <w:sz w:val="24"/>
          <w:szCs w:val="24"/>
          <w:highlight w:val="none"/>
        </w:rPr>
        <w:t>验收后，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在收到中标人提供的</w:t>
      </w:r>
      <w:r>
        <w:rPr>
          <w:rFonts w:hint="eastAsia" w:ascii="宋体" w:hAnsi="宋体" w:eastAsia="宋体" w:cs="宋体"/>
          <w:b w:val="0"/>
          <w:bCs w:val="0"/>
          <w:color w:val="auto"/>
          <w:sz w:val="24"/>
          <w:szCs w:val="24"/>
          <w:highlight w:val="none"/>
          <w:lang w:eastAsia="zh-CN"/>
        </w:rPr>
        <w:t>初步验收合格</w:t>
      </w:r>
      <w:r>
        <w:rPr>
          <w:rFonts w:hint="eastAsia" w:ascii="宋体" w:hAnsi="宋体" w:eastAsia="宋体" w:cs="宋体"/>
          <w:b w:val="0"/>
          <w:bCs w:val="0"/>
          <w:color w:val="auto"/>
          <w:sz w:val="24"/>
          <w:szCs w:val="24"/>
          <w:highlight w:val="none"/>
        </w:rPr>
        <w:t>材料、等额增值税普通发票、中标人书面请款申请等完整报销材料后，达到付款条件起30日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42E7C427">
      <w:pPr>
        <w:pStyle w:val="53"/>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系统转入试运行并通过第三方系统测试及等保测评，经</w:t>
      </w:r>
      <w:r>
        <w:rPr>
          <w:rFonts w:hint="eastAsia" w:ascii="宋体" w:hAnsi="宋体" w:eastAsia="宋体" w:cs="宋体"/>
          <w:b w:val="0"/>
          <w:bCs w:val="0"/>
          <w:color w:val="auto"/>
          <w:sz w:val="24"/>
          <w:szCs w:val="24"/>
          <w:highlight w:val="none"/>
          <w:lang w:eastAsia="zh-CN"/>
        </w:rPr>
        <w:t>招标人最终</w:t>
      </w:r>
      <w:r>
        <w:rPr>
          <w:rFonts w:hint="eastAsia" w:ascii="宋体" w:hAnsi="宋体" w:eastAsia="宋体" w:cs="宋体"/>
          <w:b w:val="0"/>
          <w:bCs w:val="0"/>
          <w:color w:val="auto"/>
          <w:sz w:val="24"/>
          <w:szCs w:val="24"/>
          <w:highlight w:val="none"/>
        </w:rPr>
        <w:t>验收后，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在收到中标人提供的</w:t>
      </w:r>
      <w:r>
        <w:rPr>
          <w:rFonts w:hint="eastAsia" w:ascii="宋体" w:hAnsi="宋体" w:eastAsia="宋体" w:cs="宋体"/>
          <w:b w:val="0"/>
          <w:bCs w:val="0"/>
          <w:color w:val="auto"/>
          <w:sz w:val="24"/>
          <w:szCs w:val="24"/>
          <w:highlight w:val="none"/>
          <w:lang w:eastAsia="zh-CN"/>
        </w:rPr>
        <w:t>最终</w:t>
      </w:r>
      <w:r>
        <w:rPr>
          <w:rFonts w:hint="eastAsia" w:ascii="宋体" w:hAnsi="宋体" w:eastAsia="宋体" w:cs="宋体"/>
          <w:b w:val="0"/>
          <w:bCs w:val="0"/>
          <w:color w:val="auto"/>
          <w:sz w:val="24"/>
          <w:szCs w:val="24"/>
          <w:highlight w:val="none"/>
        </w:rPr>
        <w:t>验收合格材料、等额增值税普通发票、中标人书面请款申请等完整报销材料后，达到付款条件起30日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56875B0B">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系统完成第1年的</w:t>
      </w:r>
      <w:r>
        <w:rPr>
          <w:rFonts w:hint="eastAsia" w:ascii="宋体" w:hAnsi="宋体" w:cs="宋体"/>
          <w:b w:val="0"/>
          <w:bCs w:val="0"/>
          <w:color w:val="auto"/>
          <w:sz w:val="24"/>
          <w:szCs w:val="24"/>
          <w:highlight w:val="none"/>
          <w:lang w:eastAsia="zh-CN"/>
        </w:rPr>
        <w:t>运维服务</w:t>
      </w:r>
      <w:r>
        <w:rPr>
          <w:rFonts w:hint="eastAsia" w:ascii="宋体" w:hAnsi="宋体" w:eastAsia="宋体" w:cs="宋体"/>
          <w:b w:val="0"/>
          <w:bCs w:val="0"/>
          <w:color w:val="auto"/>
          <w:sz w:val="24"/>
          <w:szCs w:val="24"/>
          <w:highlight w:val="none"/>
        </w:rPr>
        <w:t>后，经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验收合格在收到中标人提供的等额增值税普通发票、中标人书面请款申请等完整报销材料，达到付款条件起30日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07A1D8F4">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系统完成第</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年的</w:t>
      </w:r>
      <w:r>
        <w:rPr>
          <w:rFonts w:hint="eastAsia" w:ascii="宋体" w:hAnsi="宋体" w:cs="宋体"/>
          <w:b w:val="0"/>
          <w:bCs w:val="0"/>
          <w:color w:val="auto"/>
          <w:sz w:val="24"/>
          <w:szCs w:val="24"/>
          <w:highlight w:val="none"/>
          <w:lang w:eastAsia="zh-CN"/>
        </w:rPr>
        <w:t>运维服务</w:t>
      </w:r>
      <w:r>
        <w:rPr>
          <w:rFonts w:hint="eastAsia" w:ascii="宋体" w:hAnsi="宋体" w:eastAsia="宋体" w:cs="宋体"/>
          <w:b w:val="0"/>
          <w:bCs w:val="0"/>
          <w:color w:val="auto"/>
          <w:sz w:val="24"/>
          <w:szCs w:val="24"/>
          <w:highlight w:val="none"/>
        </w:rPr>
        <w:t>后，经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验收合格在收到中标人提供的等额增值税普通发票、中标人书面请款申请等完整报销材料，达到付款条件起30日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1CCF3D55">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系统完成第</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年的</w:t>
      </w:r>
      <w:r>
        <w:rPr>
          <w:rFonts w:hint="eastAsia" w:ascii="宋体" w:hAnsi="宋体" w:cs="宋体"/>
          <w:b w:val="0"/>
          <w:bCs w:val="0"/>
          <w:color w:val="auto"/>
          <w:sz w:val="24"/>
          <w:szCs w:val="24"/>
          <w:highlight w:val="none"/>
          <w:lang w:eastAsia="zh-CN"/>
        </w:rPr>
        <w:t>运维服务</w:t>
      </w:r>
      <w:r>
        <w:rPr>
          <w:rFonts w:hint="eastAsia" w:ascii="宋体" w:hAnsi="宋体" w:eastAsia="宋体" w:cs="宋体"/>
          <w:b w:val="0"/>
          <w:bCs w:val="0"/>
          <w:color w:val="auto"/>
          <w:sz w:val="24"/>
          <w:szCs w:val="24"/>
          <w:highlight w:val="none"/>
        </w:rPr>
        <w:t>后，经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验收合格在收到中标人提供的等额增值税普通发票、中标人书面请款申请等完整报销材料，达到付款条件起30日</w:t>
      </w:r>
      <w:r>
        <w:rPr>
          <w:rFonts w:hint="eastAsia" w:ascii="宋体" w:hAnsi="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，支付合同总金额的</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（如有违约金、赔偿等扣款事项，以扣款后的金额为准进行支付）</w:t>
      </w:r>
    </w:p>
    <w:p w14:paraId="61BF8185">
      <w:pPr>
        <w:pStyle w:val="53"/>
        <w:spacing w:line="360" w:lineRule="auto"/>
        <w:jc w:val="left"/>
        <w:rPr>
          <w:rFonts w:hint="eastAsia" w:ascii="宋体" w:hAnsi="宋体" w:cs="宋体"/>
          <w:b/>
          <w:bCs/>
          <w:color w:val="auto"/>
          <w:kern w:val="0"/>
          <w:sz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缴纳</w:t>
      </w:r>
      <w:r>
        <w:rPr>
          <w:rFonts w:hint="eastAsia" w:ascii="宋体" w:hAnsi="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履约保证金为合同金额的5.0%</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说明：签订合同前，中标人应以银行转账、支票、汇票</w:t>
      </w:r>
      <w:r>
        <w:rPr>
          <w:rFonts w:hint="eastAsia" w:ascii="宋体" w:hAnsi="宋体" w:cs="宋体"/>
          <w:b w:val="0"/>
          <w:bCs w:val="0"/>
          <w:color w:val="auto"/>
          <w:sz w:val="24"/>
          <w:szCs w:val="24"/>
          <w:highlight w:val="none"/>
          <w:lang w:eastAsia="zh-CN"/>
        </w:rPr>
        <w:t>、保函</w:t>
      </w:r>
      <w:r>
        <w:rPr>
          <w:rFonts w:hint="eastAsia" w:ascii="宋体" w:hAnsi="宋体" w:eastAsia="宋体" w:cs="宋体"/>
          <w:b w:val="0"/>
          <w:bCs w:val="0"/>
          <w:color w:val="auto"/>
          <w:sz w:val="24"/>
          <w:szCs w:val="24"/>
          <w:highlight w:val="none"/>
        </w:rPr>
        <w:t>等非现金形式缴纳成交总价的5%作为履约保证金。</w:t>
      </w:r>
      <w:r>
        <w:rPr>
          <w:rFonts w:hint="eastAsia" w:ascii="宋体" w:hAnsi="宋体" w:cs="宋体"/>
          <w:b w:val="0"/>
          <w:bCs w:val="0"/>
          <w:color w:val="auto"/>
          <w:sz w:val="24"/>
          <w:szCs w:val="24"/>
          <w:highlight w:val="none"/>
          <w:lang w:eastAsia="zh-CN"/>
        </w:rPr>
        <w:t>项目</w:t>
      </w:r>
      <w:r>
        <w:rPr>
          <w:rFonts w:hint="eastAsia" w:ascii="宋体" w:hAnsi="宋体" w:eastAsia="宋体" w:cs="宋体"/>
          <w:b w:val="0"/>
          <w:bCs w:val="0"/>
          <w:color w:val="auto"/>
          <w:sz w:val="24"/>
          <w:szCs w:val="24"/>
          <w:highlight w:val="none"/>
        </w:rPr>
        <w:t>验收合格后，双方无未了事项，</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在收到中标人书面申请30日内无息退还给中标人。</w:t>
      </w:r>
    </w:p>
    <w:p w14:paraId="07B25F6C">
      <w:pPr>
        <w:pStyle w:val="53"/>
        <w:jc w:val="left"/>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color w:val="auto"/>
          <w:sz w:val="24"/>
          <w:szCs w:val="24"/>
          <w:highlight w:val="none"/>
        </w:rPr>
        <w:t>8、</w:t>
      </w:r>
      <w:r>
        <w:rPr>
          <w:rFonts w:hint="eastAsia" w:ascii="宋体" w:hAnsi="宋体" w:eastAsia="宋体" w:cs="宋体"/>
          <w:b/>
          <w:bCs/>
          <w:i w:val="0"/>
          <w:iCs w:val="0"/>
          <w:color w:val="auto"/>
          <w:sz w:val="24"/>
          <w:szCs w:val="24"/>
          <w:highlight w:val="none"/>
          <w:lang w:val="en-US" w:eastAsia="zh-CN"/>
        </w:rPr>
        <w:t>运维售后服务</w:t>
      </w:r>
    </w:p>
    <w:p w14:paraId="71735AE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（1）运维</w:t>
      </w:r>
      <w:r>
        <w:rPr>
          <w:rFonts w:hint="default" w:ascii="宋体" w:hAnsi="宋体" w:eastAsia="宋体" w:cs="宋体"/>
          <w:i w:val="0"/>
          <w:iCs w:val="0"/>
          <w:color w:val="auto"/>
          <w:sz w:val="24"/>
          <w:szCs w:val="24"/>
          <w:highlight w:val="none"/>
          <w:lang w:val="en-US" w:eastAsia="zh-CN"/>
        </w:rPr>
        <w:t>期</w:t>
      </w:r>
    </w:p>
    <w:p w14:paraId="4F8D5CD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w:t>
      </w:r>
      <w:r>
        <w:rPr>
          <w:rFonts w:hint="default" w:ascii="宋体" w:hAnsi="宋体" w:eastAsia="宋体" w:cs="宋体"/>
          <w:i w:val="0"/>
          <w:iCs w:val="0"/>
          <w:color w:val="auto"/>
          <w:sz w:val="24"/>
          <w:szCs w:val="24"/>
          <w:highlight w:val="none"/>
          <w:lang w:val="en-US" w:eastAsia="zh-CN"/>
        </w:rPr>
        <w:t>3年</w:t>
      </w:r>
      <w:r>
        <w:rPr>
          <w:rFonts w:hint="eastAsia" w:ascii="宋体" w:hAnsi="宋体" w:eastAsia="宋体" w:cs="宋体"/>
          <w:i w:val="0"/>
          <w:iCs w:val="0"/>
          <w:color w:val="auto"/>
          <w:sz w:val="24"/>
          <w:szCs w:val="24"/>
          <w:highlight w:val="none"/>
          <w:lang w:val="en-US" w:eastAsia="zh-CN"/>
        </w:rPr>
        <w:t>运维服务</w:t>
      </w:r>
      <w:r>
        <w:rPr>
          <w:rFonts w:hint="eastAsia" w:ascii="宋体" w:hAnsi="宋体" w:eastAsia="宋体" w:cs="宋体"/>
          <w:b w:val="0"/>
          <w:bCs w:val="0"/>
          <w:color w:val="auto"/>
          <w:sz w:val="24"/>
          <w:szCs w:val="24"/>
          <w:highlight w:val="none"/>
        </w:rPr>
        <w:t>（并入投标报价内）</w:t>
      </w:r>
      <w:r>
        <w:rPr>
          <w:rFonts w:hint="default"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运维</w:t>
      </w:r>
      <w:r>
        <w:rPr>
          <w:rFonts w:hint="default" w:ascii="宋体" w:hAnsi="宋体" w:eastAsia="宋体" w:cs="宋体"/>
          <w:i w:val="0"/>
          <w:iCs w:val="0"/>
          <w:color w:val="auto"/>
          <w:sz w:val="24"/>
          <w:szCs w:val="24"/>
          <w:highlight w:val="none"/>
          <w:lang w:val="en-US" w:eastAsia="zh-CN"/>
        </w:rPr>
        <w:t>期自终验合格之日起计算</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运维</w:t>
      </w:r>
      <w:r>
        <w:rPr>
          <w:rFonts w:hint="default" w:ascii="宋体" w:hAnsi="宋体" w:eastAsia="宋体" w:cs="宋体"/>
          <w:i w:val="0"/>
          <w:iCs w:val="0"/>
          <w:color w:val="auto"/>
          <w:sz w:val="24"/>
          <w:szCs w:val="24"/>
          <w:highlight w:val="none"/>
          <w:lang w:val="en-US" w:eastAsia="zh-CN"/>
        </w:rPr>
        <w:t>期</w:t>
      </w:r>
      <w:r>
        <w:rPr>
          <w:rFonts w:hint="eastAsia" w:ascii="宋体" w:hAnsi="宋体" w:cs="宋体"/>
          <w:i w:val="0"/>
          <w:iCs w:val="0"/>
          <w:color w:val="auto"/>
          <w:sz w:val="24"/>
          <w:szCs w:val="24"/>
          <w:highlight w:val="none"/>
          <w:lang w:val="en-US" w:eastAsia="zh-CN"/>
        </w:rPr>
        <w:t>内产生的所有维保费用均由中标人承担。</w:t>
      </w:r>
    </w:p>
    <w:p w14:paraId="762DC2D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default" w:ascii="宋体" w:hAnsi="宋体" w:eastAsia="宋体" w:cs="宋体"/>
          <w:i w:val="0"/>
          <w:iCs w:val="0"/>
          <w:color w:val="auto"/>
          <w:sz w:val="24"/>
          <w:szCs w:val="24"/>
          <w:highlight w:val="none"/>
          <w:lang w:val="en-US" w:eastAsia="zh-CN"/>
        </w:rPr>
        <w:t>运维人员</w:t>
      </w:r>
    </w:p>
    <w:p w14:paraId="7A352F3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中标人须在项目初验后指派至少1名驻点运维人员入驻招标人单位，要求与招标人同步上下班时间</w:t>
      </w:r>
      <w:r>
        <w:rPr>
          <w:rFonts w:hint="eastAsia" w:ascii="宋体" w:hAnsi="宋体" w:eastAsia="宋体" w:cs="宋体"/>
          <w:b/>
          <w:bCs/>
          <w:color w:val="auto"/>
          <w:sz w:val="24"/>
          <w:szCs w:val="24"/>
          <w:highlight w:val="none"/>
          <w:u w:val="single"/>
          <w:lang w:val="en-US" w:eastAsia="zh-CN"/>
        </w:rPr>
        <w:t>[投标时须提供驻点人员名单、身份证信息、投标截止时间前六个月任意一个月（可提供含投标截止时间当月）投标人为其缴纳的社会养老保险有效凭证的复印件，未提供的按无效投标处理]</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lang w:val="en-US" w:eastAsia="zh-CN"/>
        </w:rPr>
        <w:t>驻点运维人员接到招标人及子公司故障通知后1小时内响应且12小时内解决故障。因改造需要系统全年全天候运行的特殊性，要求中标人在非工作日里有1名人员须当地备勤。</w:t>
      </w:r>
    </w:p>
    <w:p w14:paraId="102D3F4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（3）运维服务</w:t>
      </w:r>
    </w:p>
    <w:p w14:paraId="0B52511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在运维期内，需提供可持续性的运维服务，确保人事管理系统软件持续可用。</w:t>
      </w:r>
    </w:p>
    <w:p w14:paraId="29669204">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在运维期内，年底数据上报阶段，需另指派至少1名技术人员驻场，提供必要的程序调整、数据处理等技术保障。</w:t>
      </w:r>
    </w:p>
    <w:p w14:paraId="59485E3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在运维期内，提供日常运维服务，包含但不限于巡检、备份、系统健康检查等服务。</w:t>
      </w:r>
    </w:p>
    <w:p w14:paraId="5BB97DAE">
      <w:pPr>
        <w:pStyle w:val="2"/>
        <w:spacing w:line="560" w:lineRule="exact"/>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运维</w:t>
      </w:r>
      <w:r>
        <w:rPr>
          <w:rFonts w:hint="default" w:ascii="宋体" w:hAnsi="宋体" w:eastAsia="宋体" w:cs="宋体"/>
          <w:i w:val="0"/>
          <w:iCs w:val="0"/>
          <w:color w:val="auto"/>
          <w:kern w:val="2"/>
          <w:sz w:val="24"/>
          <w:szCs w:val="24"/>
          <w:highlight w:val="none"/>
          <w:lang w:val="en-US" w:eastAsia="zh-CN" w:bidi="ar-SA"/>
        </w:rPr>
        <w:t>期</w:t>
      </w:r>
      <w:r>
        <w:rPr>
          <w:rFonts w:hint="eastAsia" w:ascii="宋体" w:hAnsi="宋体" w:eastAsia="宋体" w:cs="宋体"/>
          <w:i w:val="0"/>
          <w:iCs w:val="0"/>
          <w:color w:val="auto"/>
          <w:kern w:val="2"/>
          <w:sz w:val="24"/>
          <w:szCs w:val="24"/>
          <w:highlight w:val="none"/>
          <w:lang w:val="en-US" w:eastAsia="zh" w:bidi="ar-SA"/>
        </w:rPr>
        <w:t>内，中标人每月上门对系统进行专业保养、维护，以及软件升级。</w:t>
      </w:r>
    </w:p>
    <w:p w14:paraId="3646AB0E">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（4）运维期后</w:t>
      </w:r>
    </w:p>
    <w:p w14:paraId="5093CCB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运维期</w:t>
      </w:r>
      <w:r>
        <w:rPr>
          <w:rFonts w:hint="eastAsia" w:ascii="宋体" w:hAnsi="宋体" w:eastAsia="宋体" w:cs="宋体"/>
          <w:b w:val="0"/>
          <w:bCs w:val="0"/>
          <w:color w:val="auto"/>
          <w:sz w:val="24"/>
          <w:szCs w:val="24"/>
          <w:highlight w:val="none"/>
          <w:lang w:val="en-US" w:eastAsia="zh"/>
          <w:woUserID w:val="4"/>
        </w:rPr>
        <w:t>后中标人提供软件系统故障无偿升级、更新、维护。</w:t>
      </w:r>
      <w:r>
        <w:rPr>
          <w:rFonts w:hint="eastAsia" w:ascii="宋体" w:hAnsi="宋体" w:eastAsia="宋体" w:cs="宋体"/>
          <w:b/>
          <w:bCs/>
          <w:color w:val="auto"/>
          <w:sz w:val="24"/>
          <w:szCs w:val="24"/>
          <w:highlight w:val="none"/>
          <w:lang w:val="en-US" w:eastAsia="zh-CN"/>
        </w:rPr>
        <w:t>（投标人须提供承诺函，未提供按照无效投标处理）</w:t>
      </w:r>
    </w:p>
    <w:p w14:paraId="5B0D1167">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9、培训要求</w:t>
      </w:r>
    </w:p>
    <w:p w14:paraId="48C13CCB">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中标人应根据项目特点，免费对</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技术人员、管理人员进行操作方面的专业系统培训，对普通用户提供系统应用培训，保证用户能够正确熟练的使用系统；对管理员进行必要的系统维护培训；培训人数和地点由</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确定，直至能独立操作。中标人委派的专业技术人员所需费用均由中标人承担。同时可根据用户需求举办不定期培训，帮助用户提高日常使用技能，满足工作的需要。中标人派到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现场服务的技术人员应具有实践经验、可胜任此项工作的人员。</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有权提出更换不符合要求的中标人现场服务人员，中标人应根据现场需要，重新选派</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认可的服务人员。中标人拟派的培训人员费用自行负责，</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提供培训场地。</w:t>
      </w:r>
    </w:p>
    <w:p w14:paraId="0598C443">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10、验收要求和方法</w:t>
      </w:r>
    </w:p>
    <w:p w14:paraId="4D658CEB">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分为初步验收和最终验收两个部分，初步验收合格后进入试运行，试运行时间为不少于三个月，试运行期结束即可进行项目最终验收。在试运行期满时，若因中标人原因，系统未达到规定指标和要求，试运行期顺延，中标人有责任尽快解决问题以满足项目验收条件。</w:t>
      </w:r>
    </w:p>
    <w:p w14:paraId="46387711">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10.1、初步验收</w:t>
      </w:r>
    </w:p>
    <w:p w14:paraId="35A90796">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（1）软件功能符合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Times New Roman"/>
          <w:color w:val="auto"/>
          <w:sz w:val="24"/>
          <w:szCs w:val="24"/>
          <w:highlight w:val="none"/>
          <w:u w:val="none"/>
          <w:lang w:val="en-US" w:eastAsia="zh-CN"/>
        </w:rPr>
        <w:t>景弘集团人事管理系统技术规范书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要求，并</w:t>
      </w:r>
      <w:r>
        <w:rPr>
          <w:rFonts w:hint="eastAsia" w:ascii="宋体" w:hAnsi="宋体" w:eastAsia="宋体" w:cs="宋体"/>
          <w:b w:val="0"/>
          <w:bCs w:val="0"/>
          <w:color w:val="auto"/>
          <w:sz w:val="24"/>
          <w:szCs w:val="24"/>
          <w:highlight w:val="none"/>
        </w:rPr>
        <w:t>在</w:t>
      </w:r>
      <w:r>
        <w:rPr>
          <w:rFonts w:hint="eastAsia" w:ascii="宋体" w:hAnsi="宋体" w:cs="宋体"/>
          <w:b w:val="0"/>
          <w:bCs w:val="0"/>
          <w:color w:val="auto"/>
          <w:sz w:val="24"/>
          <w:szCs w:val="24"/>
          <w:highlight w:val="none"/>
          <w:lang w:eastAsia="zh-CN"/>
        </w:rPr>
        <w:t>景弘集团及各子公司</w:t>
      </w:r>
      <w:r>
        <w:rPr>
          <w:rFonts w:hint="eastAsia" w:ascii="宋体" w:hAnsi="宋体" w:eastAsia="宋体" w:cs="宋体"/>
          <w:b w:val="0"/>
          <w:bCs w:val="0"/>
          <w:color w:val="auto"/>
          <w:sz w:val="24"/>
          <w:szCs w:val="24"/>
          <w:highlight w:val="none"/>
        </w:rPr>
        <w:t>全面推广应用</w:t>
      </w:r>
      <w:r>
        <w:rPr>
          <w:rFonts w:hint="eastAsia" w:ascii="宋体" w:hAnsi="宋体" w:eastAsia="宋体" w:cs="宋体"/>
          <w:b w:val="0"/>
          <w:bCs w:val="0"/>
          <w:color w:val="auto"/>
          <w:sz w:val="24"/>
          <w:szCs w:val="24"/>
          <w:highlight w:val="none"/>
          <w:lang w:eastAsia="zh-CN"/>
        </w:rPr>
        <w:t>。</w:t>
      </w:r>
    </w:p>
    <w:p w14:paraId="2471B720">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（2）实现建设内容中所有功能。</w:t>
      </w:r>
    </w:p>
    <w:p w14:paraId="57416B93">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（3）中标人须提供包括但不限于开工报告、初验报告、报验单、需求确认单、培训方案、需求规格说明书、用户手册等材料。</w:t>
      </w:r>
    </w:p>
    <w:p w14:paraId="09F21482">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10.2、最终验收：</w:t>
      </w:r>
    </w:p>
    <w:p w14:paraId="3F7FC6E8">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（1）系统初步验收合格后进行不少于三个月试运行，试运行结束后进入系统验收，并通过招标人组织的专家评审。</w:t>
      </w:r>
    </w:p>
    <w:p w14:paraId="44CB1A1E">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（2）系统满足相关容错性、适用性、安全性等要求，</w:t>
      </w:r>
      <w:r>
        <w:rPr>
          <w:rFonts w:hint="eastAsia" w:ascii="宋体" w:hAnsi="宋体" w:eastAsia="宋体" w:cs="宋体"/>
          <w:b w:val="0"/>
          <w:bCs w:val="0"/>
          <w:color w:val="auto"/>
          <w:sz w:val="24"/>
          <w:szCs w:val="24"/>
          <w:highlight w:val="none"/>
        </w:rPr>
        <w:t>并通过第三方系统测试及等保测评</w:t>
      </w:r>
      <w:r>
        <w:rPr>
          <w:rFonts w:hint="eastAsia" w:ascii="宋体" w:hAnsi="宋体" w:eastAsia="宋体" w:cs="宋体"/>
          <w:color w:val="auto"/>
          <w:sz w:val="24"/>
          <w:szCs w:val="24"/>
          <w:highlight w:val="none"/>
          <w:lang w:val="en-US" w:eastAsia="zh-CN"/>
        </w:rPr>
        <w:t>。</w:t>
      </w:r>
    </w:p>
    <w:p w14:paraId="5520FD07">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（3）若发现未符合招标文件、合同相关条款、需求规格说明书的要求，需立即进行整改。</w:t>
      </w:r>
    </w:p>
    <w:p w14:paraId="52E17A79">
      <w:pPr>
        <w:pStyle w:val="8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（4）验收时中标人需配合提供相关验收资料。</w:t>
      </w:r>
    </w:p>
    <w:p w14:paraId="75AFD78C">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10.3、</w:t>
      </w:r>
      <w:r>
        <w:rPr>
          <w:rFonts w:hint="eastAsia" w:ascii="宋体" w:hAnsi="宋体" w:eastAsia="宋体" w:cs="宋体"/>
          <w:b w:val="0"/>
          <w:bCs w:val="0"/>
          <w:color w:val="auto"/>
          <w:sz w:val="24"/>
          <w:szCs w:val="24"/>
          <w:highlight w:val="none"/>
        </w:rPr>
        <w:t>系统直至</w:t>
      </w:r>
      <w:r>
        <w:rPr>
          <w:rFonts w:hint="eastAsia" w:ascii="宋体" w:hAnsi="宋体" w:eastAsia="宋体" w:cs="宋体"/>
          <w:b w:val="0"/>
          <w:bCs w:val="0"/>
          <w:color w:val="auto"/>
          <w:sz w:val="24"/>
          <w:szCs w:val="24"/>
          <w:highlight w:val="none"/>
          <w:lang w:eastAsia="zh-CN"/>
        </w:rPr>
        <w:t>最终</w:t>
      </w:r>
      <w:r>
        <w:rPr>
          <w:rFonts w:hint="eastAsia" w:ascii="宋体" w:hAnsi="宋体" w:eastAsia="宋体" w:cs="宋体"/>
          <w:b w:val="0"/>
          <w:bCs w:val="0"/>
          <w:color w:val="auto"/>
          <w:sz w:val="24"/>
          <w:szCs w:val="24"/>
          <w:highlight w:val="none"/>
        </w:rPr>
        <w:t>验收合格所产生的一切费用由中标人承担（并入投标报价内）。</w:t>
      </w:r>
    </w:p>
    <w:p w14:paraId="6AF1F00C">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11、违约责任</w:t>
      </w:r>
    </w:p>
    <w:p w14:paraId="5540301F">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因中标人原因造成合同无法按时签订，视为中标人违约，</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不退还中标人投标保证金，给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带来的损失，中标人需支付相应的赔偿。</w:t>
      </w:r>
    </w:p>
    <w:p w14:paraId="12CBF09A">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11.2</w:t>
      </w:r>
      <w:r>
        <w:rPr>
          <w:rFonts w:hint="eastAsia" w:ascii="宋体" w:hAnsi="宋体" w:eastAsia="宋体" w:cs="宋体"/>
          <w:b w:val="0"/>
          <w:bCs w:val="0"/>
          <w:color w:val="auto"/>
          <w:sz w:val="24"/>
          <w:szCs w:val="24"/>
          <w:highlight w:val="none"/>
        </w:rPr>
        <w:t>、中标人不得以停产、产品升级、系统升级等任何理由要求变更所投的系统品牌及型号等，否则招标人有权终止合同，没收履约保证金，并要求中标人赔偿本合同金额的30%作为违约金。</w:t>
      </w:r>
    </w:p>
    <w:p w14:paraId="23FA4674">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11.3</w:t>
      </w:r>
      <w:r>
        <w:rPr>
          <w:rFonts w:hint="eastAsia" w:ascii="宋体" w:hAnsi="宋体" w:eastAsia="宋体" w:cs="宋体"/>
          <w:b w:val="0"/>
          <w:bCs w:val="0"/>
          <w:color w:val="auto"/>
          <w:sz w:val="24"/>
          <w:szCs w:val="24"/>
          <w:highlight w:val="none"/>
        </w:rPr>
        <w:t>、中标人提供的服务，技术质量参数和功能不符合招标文件要求及投保承诺的，招标人有权要求中标人按期整改，并要求中标人赔偿本合同金额的30%作为违约金，该违约金从招标人应付款项里相应抵扣。逾期整改超过10日（含）的，招标人有权终止合同，没收履约保证金，并要求中标人赔偿本合同金额的50%作为违约金，造成招标人经济损失的，中标人应予以赔偿。对于中标人已实施部分，招标人有权要求中标人限期拆除并对已拆除和更改的软硬件予以恢复，逾期拆除或回复的，招标人有权自行或聘请他人拆除或恢复，相关费用全部由中标人承担。</w:t>
      </w:r>
    </w:p>
    <w:p w14:paraId="2C655574">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在认定产品质量问题意见不一致时，招标人有权将产品送第三方国家认可的部门检测，检测产生的相关费用均由中标人承担。</w:t>
      </w:r>
    </w:p>
    <w:p w14:paraId="75583197">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、因中标人原因导致项目未能按合同中约定的时间如期交付的，除经招标人视情同意延期外，每逾期1日，中标人须向招标人支付违约金</w:t>
      </w: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lang w:eastAsia="zh-CN"/>
        </w:rPr>
        <w:t>元，该违约金从招标人应付款项里相应抵扣。若中标人逾期交付达</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eastAsia="zh-CN"/>
        </w:rPr>
        <w:t>天（含）以上的，招标人有权终止本合同，没收履约保证金，并要求中标人赔偿本合同金额的30%作为违约金，造成招标人经济损失的，中标人应予以赔偿。对于中标人已实施部分，招标人有权要求中标人限期拆除并对已拆除和更改的软硬件予以恢复，逾期拆除或回复的，招标人有权自行或聘请他人拆除或恢复，相关费用全部由中标人承担。</w:t>
      </w:r>
    </w:p>
    <w:p w14:paraId="7B6E02D6">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中标人非必要不得随意更换项目团队人员，如需更换，须事先征得</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的同意后方可更换。中标人经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同意后更换的人员，不得低于招标文件中相对应人员资质要求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如果未经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同意随意更换</w:t>
      </w:r>
      <w:r>
        <w:rPr>
          <w:rFonts w:hint="eastAsia" w:ascii="宋体" w:hAnsi="宋体" w:eastAsia="宋体" w:cs="宋体"/>
          <w:i w:val="0"/>
          <w:iCs w:val="0"/>
          <w:color w:val="auto"/>
          <w:sz w:val="24"/>
          <w:szCs w:val="24"/>
          <w:highlight w:val="none"/>
          <w:lang w:val="en-US" w:eastAsia="zh-CN"/>
        </w:rPr>
        <w:t>项目负责人</w:t>
      </w:r>
      <w:r>
        <w:rPr>
          <w:rFonts w:hint="eastAsia" w:ascii="宋体" w:hAnsi="宋体" w:eastAsia="宋体" w:cs="宋体"/>
          <w:b w:val="0"/>
          <w:bCs w:val="0"/>
          <w:color w:val="auto"/>
          <w:sz w:val="24"/>
          <w:szCs w:val="24"/>
          <w:highlight w:val="none"/>
        </w:rPr>
        <w:t>，中标人须向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w:t>
      </w:r>
      <w:r>
        <w:rPr>
          <w:rFonts w:hint="eastAsia" w:ascii="宋体" w:hAnsi="宋体" w:cs="宋体"/>
          <w:b w:val="0"/>
          <w:bCs w:val="0"/>
          <w:color w:val="auto"/>
          <w:sz w:val="24"/>
          <w:szCs w:val="24"/>
          <w:highlight w:val="none"/>
          <w:lang w:val="en-US" w:eastAsia="zh-CN"/>
        </w:rPr>
        <w:t>5万元</w:t>
      </w:r>
      <w:r>
        <w:rPr>
          <w:rFonts w:hint="eastAsia" w:ascii="宋体" w:hAnsi="宋体" w:eastAsia="宋体" w:cs="宋体"/>
          <w:b w:val="0"/>
          <w:bCs w:val="0"/>
          <w:color w:val="auto"/>
          <w:sz w:val="24"/>
          <w:szCs w:val="24"/>
          <w:highlight w:val="none"/>
        </w:rPr>
        <w:t>/人/次</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如果未经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同意随意更换</w:t>
      </w:r>
      <w:r>
        <w:rPr>
          <w:rFonts w:hint="eastAsia" w:ascii="宋体" w:hAnsi="宋体" w:eastAsia="宋体" w:cs="宋体"/>
          <w:i w:val="0"/>
          <w:iCs w:val="0"/>
          <w:color w:val="auto"/>
          <w:sz w:val="24"/>
          <w:szCs w:val="24"/>
          <w:highlight w:val="none"/>
          <w:lang w:val="en-US" w:eastAsia="zh-CN"/>
        </w:rPr>
        <w:t>技术负责人</w:t>
      </w:r>
      <w:r>
        <w:rPr>
          <w:rFonts w:hint="eastAsia" w:ascii="宋体" w:hAnsi="宋体" w:eastAsia="宋体" w:cs="宋体"/>
          <w:b w:val="0"/>
          <w:bCs w:val="0"/>
          <w:color w:val="auto"/>
          <w:sz w:val="24"/>
          <w:szCs w:val="24"/>
          <w:highlight w:val="none"/>
        </w:rPr>
        <w:t>，中标人须向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w:t>
      </w:r>
      <w:r>
        <w:rPr>
          <w:rFonts w:hint="eastAsia" w:ascii="宋体" w:hAnsi="宋体" w:cs="宋体"/>
          <w:b w:val="0"/>
          <w:bCs w:val="0"/>
          <w:color w:val="auto"/>
          <w:sz w:val="24"/>
          <w:szCs w:val="24"/>
          <w:highlight w:val="none"/>
          <w:lang w:val="en-US" w:eastAsia="zh-CN"/>
        </w:rPr>
        <w:t>3万元</w:t>
      </w:r>
      <w:r>
        <w:rPr>
          <w:rFonts w:hint="eastAsia" w:ascii="宋体" w:hAnsi="宋体" w:eastAsia="宋体" w:cs="宋体"/>
          <w:b w:val="0"/>
          <w:bCs w:val="0"/>
          <w:color w:val="auto"/>
          <w:sz w:val="24"/>
          <w:szCs w:val="24"/>
          <w:highlight w:val="none"/>
        </w:rPr>
        <w:t>/人/次</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如果未经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同意随意更换</w:t>
      </w:r>
      <w:r>
        <w:rPr>
          <w:rFonts w:hint="eastAsia" w:ascii="宋体" w:hAnsi="宋体" w:cs="宋体"/>
          <w:i w:val="0"/>
          <w:iCs w:val="0"/>
          <w:color w:val="auto"/>
          <w:sz w:val="24"/>
          <w:szCs w:val="24"/>
          <w:highlight w:val="none"/>
          <w:lang w:val="en-US" w:eastAsia="zh-CN"/>
        </w:rPr>
        <w:t>项目团队其他人员</w:t>
      </w:r>
      <w:r>
        <w:rPr>
          <w:rFonts w:hint="eastAsia" w:ascii="宋体" w:hAnsi="宋体" w:eastAsia="宋体" w:cs="宋体"/>
          <w:b w:val="0"/>
          <w:bCs w:val="0"/>
          <w:color w:val="auto"/>
          <w:sz w:val="24"/>
          <w:szCs w:val="24"/>
          <w:highlight w:val="none"/>
        </w:rPr>
        <w:t>，中标人须向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w:t>
      </w:r>
      <w:r>
        <w:rPr>
          <w:rFonts w:hint="eastAsia" w:ascii="宋体" w:hAnsi="宋体" w:cs="宋体"/>
          <w:b w:val="0"/>
          <w:bCs w:val="0"/>
          <w:color w:val="auto"/>
          <w:sz w:val="24"/>
          <w:szCs w:val="24"/>
          <w:highlight w:val="none"/>
          <w:lang w:val="en-US" w:eastAsia="zh-CN"/>
        </w:rPr>
        <w:t>1万</w:t>
      </w:r>
      <w:r>
        <w:rPr>
          <w:rFonts w:hint="eastAsia" w:ascii="宋体" w:hAnsi="宋体" w:eastAsia="宋体" w:cs="宋体"/>
          <w:b w:val="0"/>
          <w:bCs w:val="0"/>
          <w:color w:val="auto"/>
          <w:sz w:val="24"/>
          <w:szCs w:val="24"/>
          <w:highlight w:val="none"/>
        </w:rPr>
        <w:t>元/人/次</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履约过程中，</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认为中标人团队成员不能胜任该岗位工作或团队成员违反</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的工作制度和监管安全规定，中标人应于7日内进行更换，未按要求更换到位的，每逾期1天，向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支付违约金500元/天。</w:t>
      </w:r>
    </w:p>
    <w:p w14:paraId="7CB4557E">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11.6、中标人委派的驻点开发团队不少于11人，</w:t>
      </w:r>
      <w:r>
        <w:rPr>
          <w:rFonts w:hint="eastAsia" w:ascii="宋体" w:hAnsi="宋体" w:eastAsia="宋体" w:cs="宋体"/>
          <w:b w:val="0"/>
          <w:bCs w:val="0"/>
          <w:color w:val="auto"/>
          <w:sz w:val="24"/>
          <w:szCs w:val="24"/>
          <w:highlight w:val="none"/>
        </w:rPr>
        <w:t>履约过程中，</w:t>
      </w:r>
      <w:r>
        <w:rPr>
          <w:rFonts w:hint="eastAsia" w:ascii="宋体" w:hAnsi="宋体" w:cs="宋体"/>
          <w:b w:val="0"/>
          <w:bCs w:val="0"/>
          <w:color w:val="auto"/>
          <w:sz w:val="24"/>
          <w:szCs w:val="24"/>
          <w:highlight w:val="none"/>
          <w:lang w:eastAsia="zh-CN"/>
        </w:rPr>
        <w:t>若招标人发现中标人</w:t>
      </w:r>
      <w:r>
        <w:rPr>
          <w:rFonts w:hint="eastAsia" w:ascii="宋体" w:hAnsi="宋体" w:cs="宋体"/>
          <w:b w:val="0"/>
          <w:bCs w:val="0"/>
          <w:color w:val="auto"/>
          <w:sz w:val="24"/>
          <w:szCs w:val="24"/>
          <w:highlight w:val="none"/>
          <w:lang w:val="en-US" w:eastAsia="zh-CN"/>
        </w:rPr>
        <w:t>驻点开发团队人员缺少的，中标人</w:t>
      </w:r>
      <w:r>
        <w:rPr>
          <w:rFonts w:hint="eastAsia" w:ascii="宋体" w:hAnsi="宋体" w:eastAsia="宋体" w:cs="宋体"/>
          <w:b w:val="0"/>
          <w:bCs w:val="0"/>
          <w:color w:val="auto"/>
          <w:sz w:val="24"/>
          <w:szCs w:val="24"/>
          <w:highlight w:val="none"/>
        </w:rPr>
        <w:t>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000元/人/次。</w:t>
      </w:r>
    </w:p>
    <w:p w14:paraId="1A447897">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中标人须在项目初验后指派至少1名驻点运维人员入驻招标人单位，要求与招标人同步上下班时间。驻点运维人员接到招标人及子公司故障通知后1小时内响应且12小时内解决故障。因改造需要系统全年全天候运行的特殊性，要求中标人在非工作日里有1名人员须当地备勤。在运维期内，年底数据上报阶段，需另指派至少1名技术人员驻场，提供必要的程序调整、数据处理等技术保障。</w:t>
      </w:r>
      <w:r>
        <w:rPr>
          <w:rFonts w:hint="eastAsia" w:ascii="宋体" w:hAnsi="宋体" w:eastAsia="宋体" w:cs="宋体"/>
          <w:b w:val="0"/>
          <w:bCs w:val="0"/>
          <w:color w:val="auto"/>
          <w:sz w:val="24"/>
          <w:szCs w:val="24"/>
          <w:highlight w:val="none"/>
        </w:rPr>
        <w:t>中标人如未达到上述要求，</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有权从未支付合同款中扣除</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00元/次。中标人非必要不得随意更换驻点运维人员，如需更换，须事先征得</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的同意后方可更换。如果未经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同意随意更换，须向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支付违约金5000元/人/次。</w:t>
      </w:r>
    </w:p>
    <w:p w14:paraId="3B8DDDB1">
      <w:pPr>
        <w:pStyle w:val="53"/>
        <w:spacing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woUserID w:val="1"/>
        </w:rPr>
        <w:t>11.</w:t>
      </w:r>
      <w:r>
        <w:rPr>
          <w:rFonts w:hint="eastAsia" w:ascii="宋体" w:hAnsi="宋体" w:cs="宋体"/>
          <w:color w:val="auto"/>
          <w:sz w:val="24"/>
          <w:szCs w:val="24"/>
          <w:highlight w:val="none"/>
          <w:lang w:val="en-US" w:eastAsia="zh-CN"/>
          <w:woUserID w:val="1"/>
        </w:rPr>
        <w:t>8</w:t>
      </w:r>
      <w:r>
        <w:rPr>
          <w:rFonts w:hint="eastAsia" w:ascii="宋体" w:hAnsi="宋体" w:eastAsia="宋体" w:cs="宋体"/>
          <w:color w:val="auto"/>
          <w:sz w:val="24"/>
          <w:szCs w:val="24"/>
          <w:highlight w:val="none"/>
          <w:lang w:val="en-US" w:eastAsia="zh-CN"/>
          <w:woUserID w:val="1"/>
        </w:rPr>
        <w:t>、中标人</w:t>
      </w:r>
      <w:r>
        <w:rPr>
          <w:rFonts w:hint="eastAsia" w:ascii="宋体" w:hAnsi="宋体" w:eastAsia="宋体" w:cs="宋体"/>
          <w:color w:val="auto"/>
          <w:sz w:val="24"/>
          <w:szCs w:val="24"/>
          <w:highlight w:val="none"/>
          <w:lang w:val="en-US" w:eastAsia="zh"/>
          <w:woUserID w:val="4"/>
        </w:rPr>
        <w:t>不能</w:t>
      </w:r>
      <w:r>
        <w:rPr>
          <w:rFonts w:hint="eastAsia" w:ascii="宋体" w:hAnsi="宋体" w:eastAsia="宋体" w:cs="宋体"/>
          <w:color w:val="auto"/>
          <w:sz w:val="24"/>
          <w:szCs w:val="24"/>
          <w:highlight w:val="none"/>
          <w:lang w:val="en-US" w:eastAsia="zh-CN"/>
          <w:woUserID w:val="1"/>
        </w:rPr>
        <w:t>按售后服务要求中约定的</w:t>
      </w:r>
      <w:r>
        <w:rPr>
          <w:rFonts w:hint="eastAsia" w:ascii="宋体" w:hAnsi="宋体" w:eastAsia="宋体" w:cs="宋体"/>
          <w:color w:val="auto"/>
          <w:sz w:val="24"/>
          <w:szCs w:val="24"/>
          <w:highlight w:val="none"/>
          <w:lang w:val="en-US" w:eastAsia="zh"/>
          <w:woUserID w:val="4"/>
        </w:rPr>
        <w:t>履行售后服务的</w:t>
      </w:r>
      <w:r>
        <w:rPr>
          <w:rFonts w:hint="eastAsia" w:ascii="宋体" w:hAnsi="宋体" w:eastAsia="宋体" w:cs="宋体"/>
          <w:color w:val="auto"/>
          <w:sz w:val="24"/>
          <w:szCs w:val="24"/>
          <w:highlight w:val="none"/>
          <w:lang w:val="en-US" w:eastAsia="zh-CN"/>
          <w:woUserID w:val="1"/>
        </w:rPr>
        <w:t>，每发生1次</w:t>
      </w:r>
      <w:r>
        <w:rPr>
          <w:rFonts w:hint="eastAsia" w:ascii="宋体" w:hAnsi="宋体" w:eastAsia="宋体" w:cs="宋体"/>
          <w:color w:val="auto"/>
          <w:sz w:val="24"/>
          <w:szCs w:val="24"/>
          <w:highlight w:val="none"/>
          <w:lang w:val="en-US" w:eastAsia="zh"/>
          <w:woUserID w:val="4"/>
        </w:rPr>
        <w:t>应</w:t>
      </w:r>
      <w:r>
        <w:rPr>
          <w:rFonts w:hint="eastAsia" w:ascii="宋体" w:hAnsi="宋体" w:eastAsia="宋体" w:cs="宋体"/>
          <w:color w:val="auto"/>
          <w:sz w:val="24"/>
          <w:szCs w:val="24"/>
          <w:highlight w:val="none"/>
          <w:lang w:val="en-US" w:eastAsia="zh-CN"/>
          <w:woUserID w:val="1"/>
        </w:rPr>
        <w:t>向招标人支付</w:t>
      </w:r>
      <w:r>
        <w:rPr>
          <w:rFonts w:hint="eastAsia" w:ascii="宋体" w:hAnsi="宋体" w:eastAsia="宋体" w:cs="宋体"/>
          <w:color w:val="auto"/>
          <w:sz w:val="24"/>
          <w:szCs w:val="24"/>
          <w:highlight w:val="none"/>
          <w:lang w:val="en-US" w:eastAsia="zh"/>
          <w:woUserID w:val="1"/>
        </w:rPr>
        <w:t>违约金</w:t>
      </w:r>
      <w:r>
        <w:rPr>
          <w:rFonts w:hint="eastAsia" w:ascii="宋体" w:hAnsi="宋体" w:eastAsia="宋体" w:cs="宋体"/>
          <w:color w:val="auto"/>
          <w:sz w:val="24"/>
          <w:szCs w:val="24"/>
          <w:highlight w:val="none"/>
          <w:lang w:val="en-US" w:eastAsia="zh-CN"/>
          <w:woUserID w:val="1"/>
        </w:rPr>
        <w:t>1000元</w:t>
      </w:r>
      <w:r>
        <w:rPr>
          <w:rFonts w:hint="eastAsia" w:ascii="宋体" w:hAnsi="宋体" w:eastAsia="宋体" w:cs="宋体"/>
          <w:color w:val="auto"/>
          <w:sz w:val="24"/>
          <w:szCs w:val="24"/>
          <w:highlight w:val="none"/>
          <w:lang w:val="en-US" w:eastAsia="zh"/>
          <w:woUserID w:val="4"/>
        </w:rPr>
        <w:t>，若因此给招标人造成损失的，中标人还应赔偿招标人所受的损失</w:t>
      </w:r>
      <w:r>
        <w:rPr>
          <w:rFonts w:hint="eastAsia" w:ascii="宋体" w:hAnsi="宋体" w:eastAsia="宋体" w:cs="宋体"/>
          <w:color w:val="auto"/>
          <w:sz w:val="24"/>
          <w:szCs w:val="24"/>
          <w:highlight w:val="none"/>
          <w:lang w:val="en-US" w:eastAsia="zh-CN"/>
          <w:woUserID w:val="1"/>
        </w:rPr>
        <w:t>。</w:t>
      </w:r>
      <w:r>
        <w:rPr>
          <w:rFonts w:hint="eastAsia" w:ascii="宋体" w:hAnsi="宋体" w:eastAsia="宋体" w:cs="宋体"/>
          <w:color w:val="auto"/>
          <w:sz w:val="24"/>
          <w:szCs w:val="24"/>
          <w:highlight w:val="none"/>
          <w:lang w:val="en-US" w:eastAsia="zh"/>
          <w:woUserID w:val="4"/>
        </w:rPr>
        <w:t>累计</w:t>
      </w:r>
      <w:r>
        <w:rPr>
          <w:rFonts w:hint="eastAsia" w:ascii="宋体" w:hAnsi="宋体" w:eastAsia="宋体" w:cs="宋体"/>
          <w:color w:val="auto"/>
          <w:sz w:val="24"/>
          <w:szCs w:val="24"/>
          <w:highlight w:val="none"/>
          <w:lang w:val="en-US" w:eastAsia="zh-CN"/>
          <w:woUserID w:val="1"/>
        </w:rPr>
        <w:t>10次</w:t>
      </w:r>
      <w:r>
        <w:rPr>
          <w:rFonts w:hint="eastAsia" w:ascii="宋体" w:hAnsi="宋体" w:eastAsia="宋体" w:cs="宋体"/>
          <w:color w:val="auto"/>
          <w:sz w:val="24"/>
          <w:szCs w:val="24"/>
          <w:highlight w:val="none"/>
          <w:lang w:val="en-US" w:eastAsia="zh"/>
          <w:woUserID w:val="4"/>
        </w:rPr>
        <w:t>（含）</w:t>
      </w:r>
      <w:r>
        <w:rPr>
          <w:rFonts w:hint="eastAsia" w:ascii="宋体" w:hAnsi="宋体" w:eastAsia="宋体" w:cs="宋体"/>
          <w:color w:val="auto"/>
          <w:sz w:val="24"/>
          <w:szCs w:val="24"/>
          <w:highlight w:val="none"/>
          <w:lang w:val="en-US" w:eastAsia="zh-CN"/>
          <w:woUserID w:val="1"/>
        </w:rPr>
        <w:t>以上</w:t>
      </w:r>
      <w:r>
        <w:rPr>
          <w:rFonts w:hint="eastAsia" w:ascii="宋体" w:hAnsi="宋体" w:eastAsia="宋体" w:cs="宋体"/>
          <w:color w:val="auto"/>
          <w:sz w:val="24"/>
          <w:szCs w:val="24"/>
          <w:highlight w:val="none"/>
          <w:lang w:val="en-US" w:eastAsia="zh"/>
          <w:woUserID w:val="4"/>
        </w:rPr>
        <w:t>的</w:t>
      </w:r>
      <w:r>
        <w:rPr>
          <w:rFonts w:hint="eastAsia" w:ascii="宋体" w:hAnsi="宋体" w:eastAsia="宋体" w:cs="宋体"/>
          <w:color w:val="auto"/>
          <w:sz w:val="24"/>
          <w:szCs w:val="24"/>
          <w:highlight w:val="none"/>
          <w:lang w:val="en-US" w:eastAsia="zh-CN"/>
          <w:woUserID w:val="1"/>
        </w:rPr>
        <w:t>，招标人有权</w:t>
      </w:r>
      <w:r>
        <w:rPr>
          <w:rFonts w:hint="eastAsia" w:ascii="宋体" w:hAnsi="宋体" w:eastAsia="宋体" w:cs="宋体"/>
          <w:color w:val="auto"/>
          <w:sz w:val="24"/>
          <w:szCs w:val="24"/>
          <w:highlight w:val="none"/>
          <w:lang w:val="en-US" w:eastAsia="zh"/>
          <w:woUserID w:val="4"/>
        </w:rPr>
        <w:t>终止</w:t>
      </w:r>
      <w:r>
        <w:rPr>
          <w:rFonts w:hint="eastAsia" w:ascii="宋体" w:hAnsi="宋体" w:eastAsia="宋体" w:cs="宋体"/>
          <w:color w:val="auto"/>
          <w:sz w:val="24"/>
          <w:szCs w:val="24"/>
          <w:highlight w:val="none"/>
          <w:lang w:val="en-US" w:eastAsia="zh-CN"/>
          <w:woUserID w:val="4"/>
        </w:rPr>
        <w:t>本合同</w:t>
      </w:r>
      <w:r>
        <w:rPr>
          <w:rFonts w:hint="eastAsia" w:ascii="宋体" w:hAnsi="宋体" w:eastAsia="宋体" w:cs="宋体"/>
          <w:color w:val="auto"/>
          <w:sz w:val="24"/>
          <w:szCs w:val="24"/>
          <w:highlight w:val="none"/>
          <w:lang w:val="en-US" w:eastAsia="zh-CN"/>
          <w:woUserID w:val="1"/>
        </w:rPr>
        <w:t>，</w:t>
      </w:r>
      <w:r>
        <w:rPr>
          <w:rFonts w:hint="eastAsia" w:ascii="宋体" w:hAnsi="宋体" w:eastAsia="宋体" w:cs="宋体"/>
          <w:color w:val="auto"/>
          <w:sz w:val="24"/>
          <w:szCs w:val="24"/>
          <w:highlight w:val="none"/>
          <w:lang w:val="en-US" w:eastAsia="zh"/>
          <w:woUserID w:val="4"/>
        </w:rPr>
        <w:t>没收</w:t>
      </w:r>
      <w:r>
        <w:rPr>
          <w:rFonts w:hint="eastAsia" w:ascii="宋体" w:hAnsi="宋体" w:eastAsia="宋体" w:cs="宋体"/>
          <w:color w:val="auto"/>
          <w:sz w:val="24"/>
          <w:szCs w:val="24"/>
          <w:highlight w:val="none"/>
          <w:lang w:val="en-US" w:eastAsia="zh-CN"/>
          <w:woUserID w:val="1"/>
        </w:rPr>
        <w:t>履约保证金，</w:t>
      </w:r>
      <w:r>
        <w:rPr>
          <w:rFonts w:hint="eastAsia" w:ascii="宋体" w:hAnsi="宋体" w:eastAsia="宋体" w:cs="宋体"/>
          <w:color w:val="auto"/>
          <w:kern w:val="2"/>
          <w:sz w:val="24"/>
          <w:szCs w:val="24"/>
          <w:highlight w:val="none"/>
          <w:lang w:val="en-US" w:eastAsia="zh" w:bidi="ar-SA"/>
          <w:woUserID w:val="4"/>
        </w:rPr>
        <w:t>并要求中标人赔偿本合同金额的30%作为违约金。</w:t>
      </w:r>
    </w:p>
    <w:p w14:paraId="5D9BB1E9">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因中标人维保工作不到位等原因造成系统中断超过24小时或相关的网络安全、数据安全事件，</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有权从未支付合同款中扣除5000元/次。中标人还须承担由此造成的所有经济损失并承担相应法律责任。</w:t>
      </w:r>
    </w:p>
    <w:p w14:paraId="54B26C1C">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cs="宋体"/>
          <w:b w:val="0"/>
          <w:bCs w:val="0"/>
          <w:color w:val="auto"/>
          <w:sz w:val="24"/>
          <w:szCs w:val="24"/>
          <w:highlight w:val="none"/>
          <w:shd w:val="clear" w:color="auto" w:fill="FFFFFF"/>
          <w:lang w:val="en-US" w:eastAsia="zh-CN"/>
        </w:rPr>
        <w:t>10</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rPr>
        <w:t>中标人不得将本项目进行分包或转包，如发现经查实，</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有权单方解除合同，中标人还须向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支付合同金额20%的违约金。中标人应自收到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通知之日起30日内缴纳。</w:t>
      </w:r>
    </w:p>
    <w:p w14:paraId="0B08B66B">
      <w:pPr>
        <w:pStyle w:val="53"/>
        <w:spacing w:line="360" w:lineRule="auto"/>
        <w:ind w:firstLine="480"/>
        <w:jc w:val="left"/>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、除招标文件、合同中已明确的具体违约责任外，中标人未履行招标文件、合同中其他规定要求的，每次向招标人支付违约金1000元</w:t>
      </w:r>
      <w:r>
        <w:rPr>
          <w:rFonts w:hint="eastAsia" w:ascii="宋体" w:hAnsi="宋体" w:cs="宋体"/>
          <w:b w:val="0"/>
          <w:bCs w:val="0"/>
          <w:color w:val="auto"/>
          <w:sz w:val="24"/>
          <w:szCs w:val="24"/>
          <w:highlight w:val="none"/>
          <w:lang w:val="en-US" w:eastAsia="zh-CN"/>
        </w:rPr>
        <w:t>。</w:t>
      </w:r>
    </w:p>
    <w:p w14:paraId="3BED5B1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woUserID w:val="4"/>
        </w:rPr>
        <w:t>11.1</w:t>
      </w:r>
      <w:r>
        <w:rPr>
          <w:rFonts w:hint="eastAsia" w:ascii="宋体" w:hAnsi="宋体" w:cs="宋体"/>
          <w:color w:val="auto"/>
          <w:sz w:val="24"/>
          <w:szCs w:val="24"/>
          <w:highlight w:val="none"/>
          <w:lang w:val="en-US" w:eastAsia="zh-CN"/>
          <w:woUserID w:val="4"/>
        </w:rPr>
        <w:t>2</w:t>
      </w:r>
      <w:r>
        <w:rPr>
          <w:rFonts w:hint="eastAsia" w:ascii="宋体" w:hAnsi="宋体" w:eastAsia="宋体" w:cs="宋体"/>
          <w:color w:val="auto"/>
          <w:sz w:val="24"/>
          <w:szCs w:val="24"/>
          <w:highlight w:val="none"/>
          <w:lang w:eastAsia="zh"/>
          <w:woUserID w:val="4"/>
        </w:rPr>
        <w:t>、</w:t>
      </w:r>
      <w:r>
        <w:rPr>
          <w:rFonts w:hint="eastAsia" w:ascii="宋体" w:hAnsi="宋体" w:eastAsia="宋体" w:cs="宋体"/>
          <w:color w:val="auto"/>
          <w:sz w:val="24"/>
          <w:szCs w:val="24"/>
          <w:highlight w:val="none"/>
          <w:lang w:eastAsia="zh"/>
          <w:woUserID w:val="1"/>
        </w:rPr>
        <w:t>中标人</w:t>
      </w:r>
      <w:r>
        <w:rPr>
          <w:rFonts w:hint="eastAsia" w:ascii="宋体" w:hAnsi="宋体" w:eastAsia="宋体" w:cs="宋体"/>
          <w:color w:val="auto"/>
          <w:sz w:val="24"/>
          <w:szCs w:val="24"/>
          <w:highlight w:val="none"/>
        </w:rPr>
        <w:t>应确保产品符合相关法律法规和行业标准，包括但不限于数据保护法规、网络安全法规等。若因中标人未能确保产品的合规性导致违法违规行为或受到法律制裁，中标人应承担全部责任，</w:t>
      </w:r>
      <w:r>
        <w:rPr>
          <w:rFonts w:hint="eastAsia" w:ascii="宋体" w:hAnsi="宋体" w:eastAsia="宋体" w:cs="宋体"/>
          <w:color w:val="auto"/>
          <w:sz w:val="24"/>
          <w:szCs w:val="24"/>
          <w:highlight w:val="none"/>
          <w:lang w:val="en-US" w:eastAsia="zh-CN"/>
          <w:woUserID w:val="4"/>
        </w:rPr>
        <w:t>招标人有权</w:t>
      </w:r>
      <w:r>
        <w:rPr>
          <w:rFonts w:hint="eastAsia" w:ascii="宋体" w:hAnsi="宋体" w:eastAsia="宋体" w:cs="宋体"/>
          <w:color w:val="auto"/>
          <w:sz w:val="24"/>
          <w:szCs w:val="24"/>
          <w:highlight w:val="none"/>
          <w:lang w:val="en-US" w:eastAsia="zh"/>
          <w:woUserID w:val="4"/>
        </w:rPr>
        <w:t>终止</w:t>
      </w:r>
      <w:r>
        <w:rPr>
          <w:rFonts w:hint="eastAsia" w:ascii="宋体" w:hAnsi="宋体" w:eastAsia="宋体" w:cs="宋体"/>
          <w:color w:val="auto"/>
          <w:sz w:val="24"/>
          <w:szCs w:val="24"/>
          <w:highlight w:val="none"/>
          <w:lang w:val="en-US" w:eastAsia="zh-CN"/>
          <w:woUserID w:val="4"/>
        </w:rPr>
        <w:t>本合同，</w:t>
      </w:r>
      <w:r>
        <w:rPr>
          <w:rFonts w:hint="eastAsia" w:ascii="宋体" w:hAnsi="宋体" w:eastAsia="宋体" w:cs="宋体"/>
          <w:color w:val="auto"/>
          <w:sz w:val="24"/>
          <w:szCs w:val="24"/>
          <w:highlight w:val="none"/>
          <w:lang w:val="en-US" w:eastAsia="zh"/>
          <w:woUserID w:val="4"/>
        </w:rPr>
        <w:t>没收</w:t>
      </w:r>
      <w:r>
        <w:rPr>
          <w:rFonts w:hint="eastAsia" w:ascii="宋体" w:hAnsi="宋体" w:eastAsia="宋体" w:cs="宋体"/>
          <w:color w:val="auto"/>
          <w:sz w:val="24"/>
          <w:szCs w:val="24"/>
          <w:highlight w:val="none"/>
          <w:lang w:val="en-US" w:eastAsia="zh-CN"/>
          <w:woUserID w:val="4"/>
        </w:rPr>
        <w:t>履约保证金</w:t>
      </w:r>
      <w:r>
        <w:rPr>
          <w:rFonts w:hint="eastAsia" w:ascii="宋体" w:hAnsi="宋体" w:eastAsia="宋体" w:cs="宋体"/>
          <w:color w:val="auto"/>
          <w:sz w:val="24"/>
          <w:szCs w:val="24"/>
          <w:highlight w:val="none"/>
          <w:lang w:val="en-US" w:eastAsia="zh"/>
          <w:woUserID w:val="4"/>
        </w:rPr>
        <w:t>，</w:t>
      </w:r>
      <w:r>
        <w:rPr>
          <w:rFonts w:hint="eastAsia" w:ascii="宋体" w:hAnsi="宋体" w:eastAsia="宋体" w:cs="宋体"/>
          <w:color w:val="auto"/>
          <w:kern w:val="2"/>
          <w:sz w:val="24"/>
          <w:szCs w:val="24"/>
          <w:highlight w:val="none"/>
          <w:lang w:val="en-US" w:eastAsia="zh" w:bidi="ar-SA"/>
          <w:woUserID w:val="4"/>
        </w:rPr>
        <w:t>并要求中标人赔偿本合同金额的30%作为违约金，</w:t>
      </w:r>
      <w:r>
        <w:rPr>
          <w:rFonts w:hint="eastAsia" w:ascii="宋体" w:hAnsi="宋体" w:eastAsia="宋体" w:cs="宋体"/>
          <w:color w:val="auto"/>
          <w:sz w:val="24"/>
          <w:szCs w:val="24"/>
          <w:highlight w:val="none"/>
          <w:lang w:val="en-US" w:eastAsia="zh"/>
          <w:woUserID w:val="4"/>
        </w:rPr>
        <w:t>若因此给招标人造成损失的，中标人还应赔偿招标人所受的损失</w:t>
      </w:r>
      <w:r>
        <w:rPr>
          <w:rFonts w:hint="eastAsia" w:ascii="宋体" w:hAnsi="宋体" w:eastAsia="宋体" w:cs="宋体"/>
          <w:color w:val="auto"/>
          <w:sz w:val="24"/>
          <w:szCs w:val="24"/>
          <w:highlight w:val="none"/>
          <w:lang w:val="en-US" w:eastAsia="zh-CN"/>
          <w:woUserID w:val="4"/>
        </w:rPr>
        <w:t>。</w:t>
      </w:r>
      <w:r>
        <w:rPr>
          <w:rFonts w:hint="eastAsia" w:ascii="宋体" w:hAnsi="宋体" w:eastAsia="宋体" w:cs="宋体"/>
          <w:color w:val="auto"/>
          <w:sz w:val="24"/>
          <w:szCs w:val="24"/>
          <w:highlight w:val="none"/>
        </w:rPr>
        <w:t>若因</w:t>
      </w:r>
      <w:r>
        <w:rPr>
          <w:rFonts w:hint="eastAsia" w:ascii="宋体" w:hAnsi="宋体" w:eastAsia="宋体" w:cs="宋体"/>
          <w:color w:val="auto"/>
          <w:sz w:val="24"/>
          <w:szCs w:val="24"/>
          <w:highlight w:val="none"/>
          <w:lang w:eastAsia="zh"/>
          <w:woUserID w:val="4"/>
        </w:rPr>
        <w:t>项目的</w:t>
      </w:r>
      <w:r>
        <w:rPr>
          <w:rFonts w:hint="eastAsia" w:ascii="宋体" w:hAnsi="宋体" w:eastAsia="宋体" w:cs="宋体"/>
          <w:color w:val="auto"/>
          <w:sz w:val="24"/>
          <w:szCs w:val="24"/>
          <w:highlight w:val="none"/>
        </w:rPr>
        <w:t>网络安全、数据安全相关措施保障不力，导致招标人被网安、网信等部门通报的，每次</w:t>
      </w:r>
      <w:r>
        <w:rPr>
          <w:rFonts w:hint="eastAsia" w:ascii="宋体" w:hAnsi="宋体" w:eastAsia="宋体" w:cs="宋体"/>
          <w:color w:val="auto"/>
          <w:sz w:val="24"/>
          <w:szCs w:val="24"/>
          <w:highlight w:val="none"/>
          <w:lang w:eastAsia="zh"/>
          <w:woUserID w:val="4"/>
        </w:rPr>
        <w:t>中标人应</w:t>
      </w:r>
      <w:r>
        <w:rPr>
          <w:rFonts w:hint="eastAsia" w:ascii="宋体" w:hAnsi="宋体" w:eastAsia="宋体" w:cs="宋体"/>
          <w:color w:val="auto"/>
          <w:sz w:val="24"/>
          <w:szCs w:val="24"/>
          <w:highlight w:val="none"/>
        </w:rPr>
        <w:t>向招标人支付</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元的违约金。</w:t>
      </w:r>
    </w:p>
    <w:p w14:paraId="16DC9814">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中标人的违约金，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有权从未支付的服务费或履约保证金中扣除，不足部分另向中标人追偿。中标人应在接到招标人书面通知书15个工作日内支付相应的违约金。若中标人逾期交付违约金超过30天(含30天)以上的，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有权单方面解除本合同。</w:t>
      </w:r>
    </w:p>
    <w:p w14:paraId="0AD4A61A">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cs="宋体"/>
          <w:b w:val="0"/>
          <w:bCs w:val="0"/>
          <w:color w:val="auto"/>
          <w:sz w:val="24"/>
          <w:szCs w:val="24"/>
          <w:highlight w:val="none"/>
          <w:shd w:val="clear" w:color="auto" w:fill="FFFFFF"/>
          <w:lang w:val="en-US" w:eastAsia="zh-CN"/>
        </w:rPr>
        <w:t>4</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auto"/>
          <w:sz w:val="24"/>
          <w:szCs w:val="24"/>
          <w:highlight w:val="none"/>
          <w:shd w:val="clear" w:color="auto" w:fill="FFFFFF"/>
        </w:rPr>
        <w:t>若因中标人为履行合同项下义务导致</w:t>
      </w:r>
      <w:r>
        <w:rPr>
          <w:rFonts w:hint="eastAsia" w:ascii="宋体" w:hAnsi="宋体" w:eastAsia="宋体" w:cs="宋体"/>
          <w:b w:val="0"/>
          <w:bCs w:val="0"/>
          <w:color w:val="auto"/>
          <w:sz w:val="24"/>
          <w:szCs w:val="24"/>
          <w:highlight w:val="none"/>
          <w:shd w:val="clear" w:color="auto" w:fill="FFFFFF"/>
          <w:lang w:eastAsia="zh-CN"/>
        </w:rPr>
        <w:t>招标人</w:t>
      </w:r>
      <w:r>
        <w:rPr>
          <w:rFonts w:hint="eastAsia" w:ascii="宋体" w:hAnsi="宋体" w:eastAsia="宋体" w:cs="宋体"/>
          <w:b w:val="0"/>
          <w:bCs w:val="0"/>
          <w:color w:val="auto"/>
          <w:sz w:val="24"/>
          <w:szCs w:val="24"/>
          <w:highlight w:val="none"/>
          <w:shd w:val="clear" w:color="auto" w:fill="FFFFFF"/>
        </w:rPr>
        <w:t>所产生的一切损失（包括但不限于人身财产的损失、律师费、诉讼费、保全费、鉴定费等），均由中标人承担赔偿责任。</w:t>
      </w:r>
    </w:p>
    <w:p w14:paraId="77487FDB">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11.1</w:t>
      </w:r>
      <w:r>
        <w:rPr>
          <w:rFonts w:hint="eastAsia" w:ascii="宋体" w:hAnsi="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sz w:val="24"/>
          <w:szCs w:val="24"/>
          <w:highlight w:val="none"/>
          <w:shd w:val="clear" w:color="auto" w:fill="FFFFFF"/>
          <w:lang w:eastAsia="zh-CN"/>
        </w:rPr>
        <w:t>、因中标人工作不到位等原因造成安全事故，中标人须承担由此造成的所有经济损失并承担相应法律责任。因中标人原因发生重大安全事故或特大安全事故，除按国家有关安全管理规定及招标人有关安全管理办法执行外，招标人有权终止合同，给招标人造成损失的，须向招标人支付违约金。</w:t>
      </w:r>
    </w:p>
    <w:p w14:paraId="3F872B8B">
      <w:pPr>
        <w:pStyle w:val="53"/>
        <w:spacing w:line="360" w:lineRule="auto"/>
        <w:ind w:firstLine="480"/>
        <w:jc w:val="left"/>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cs="宋体"/>
          <w:b w:val="0"/>
          <w:bCs w:val="0"/>
          <w:color w:val="auto"/>
          <w:sz w:val="24"/>
          <w:szCs w:val="24"/>
          <w:highlight w:val="none"/>
          <w:shd w:val="clear" w:color="auto" w:fill="FFFFFF"/>
          <w:lang w:val="en-US" w:eastAsia="zh-CN"/>
        </w:rPr>
        <w:t>6</w:t>
      </w:r>
      <w:r>
        <w:rPr>
          <w:rFonts w:hint="eastAsia" w:ascii="宋体" w:hAnsi="宋体" w:eastAsia="宋体" w:cs="宋体"/>
          <w:b w:val="0"/>
          <w:bCs w:val="0"/>
          <w:color w:val="auto"/>
          <w:sz w:val="24"/>
          <w:szCs w:val="24"/>
          <w:highlight w:val="none"/>
          <w:shd w:val="clear" w:color="auto" w:fill="FFFFFF"/>
          <w:lang w:val="en-US" w:eastAsia="zh-CN"/>
        </w:rPr>
        <w:t>、保密规定</w:t>
      </w:r>
    </w:p>
    <w:p w14:paraId="482CE8AD">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eastAsia="宋体" w:cs="宋体"/>
          <w:b w:val="0"/>
          <w:bCs w:val="0"/>
          <w:color w:val="auto"/>
          <w:sz w:val="24"/>
          <w:szCs w:val="24"/>
          <w:highlight w:val="none"/>
        </w:rPr>
        <w:t>中标人应当对合同的内容、因履行合同或在合同期间知悉的或收到的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的财务、技术、产品信息、</w:t>
      </w:r>
      <w:r>
        <w:rPr>
          <w:rFonts w:hint="eastAsia" w:ascii="宋体" w:hAnsi="宋体" w:eastAsia="宋体" w:cs="宋体"/>
          <w:b w:val="0"/>
          <w:bCs w:val="0"/>
          <w:color w:val="auto"/>
          <w:sz w:val="24"/>
          <w:szCs w:val="24"/>
          <w:highlight w:val="none"/>
          <w:lang w:eastAsia="zh-CN"/>
        </w:rPr>
        <w:t>职工</w:t>
      </w:r>
      <w:r>
        <w:rPr>
          <w:rFonts w:hint="eastAsia" w:ascii="宋体" w:hAnsi="宋体" w:eastAsia="宋体" w:cs="宋体"/>
          <w:b w:val="0"/>
          <w:bCs w:val="0"/>
          <w:color w:val="auto"/>
          <w:sz w:val="24"/>
          <w:szCs w:val="24"/>
          <w:highlight w:val="none"/>
        </w:rPr>
        <w:t>资料或其他工作上的文件资料、工作内容等予以保密，不得向合同以外的任何第三方披露，签订并严格执行《单位保密承诺书》；中标人进入</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工作区域的工作人员需签订《个人保密承诺书》，严格履行保密义务。</w:t>
      </w:r>
    </w:p>
    <w:p w14:paraId="417381C0">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（2）中标人违反本条约定泄露</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的涉密信息的，应承担相应的法律责任，造成</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损失的，中标人应当依法承担赔偿责任。</w:t>
      </w:r>
    </w:p>
    <w:p w14:paraId="1596BFE8">
      <w:pPr>
        <w:pStyle w:val="53"/>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（3）本条款不因合同届满或解除而失效。</w:t>
      </w:r>
    </w:p>
    <w:p w14:paraId="245FF8A5">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11.</w:t>
      </w:r>
      <w:r>
        <w:rPr>
          <w:rFonts w:hint="eastAsia" w:ascii="宋体" w:hAnsi="宋体" w:eastAsia="宋体" w:cs="宋体"/>
          <w:b w:val="0"/>
          <w:bCs w:val="0"/>
          <w:color w:val="auto"/>
          <w:sz w:val="24"/>
          <w:szCs w:val="24"/>
          <w:highlight w:val="none"/>
          <w:shd w:val="clear" w:color="auto" w:fill="FFFFFF"/>
          <w:lang w:val="en-US" w:eastAsia="zh-CN"/>
        </w:rPr>
        <w:t>1</w:t>
      </w:r>
      <w:r>
        <w:rPr>
          <w:rFonts w:hint="eastAsia" w:ascii="宋体" w:hAnsi="宋体" w:cs="宋体"/>
          <w:b w:val="0"/>
          <w:bCs w:val="0"/>
          <w:color w:val="auto"/>
          <w:sz w:val="24"/>
          <w:szCs w:val="24"/>
          <w:highlight w:val="none"/>
          <w:shd w:val="clear" w:color="auto" w:fill="FFFFFF"/>
          <w:lang w:val="en-US" w:eastAsia="zh-CN"/>
        </w:rPr>
        <w:t>7</w:t>
      </w:r>
      <w:r>
        <w:rPr>
          <w:rFonts w:hint="eastAsia" w:ascii="宋体" w:hAnsi="宋体" w:eastAsia="宋体" w:cs="宋体"/>
          <w:b w:val="0"/>
          <w:bCs w:val="0"/>
          <w:color w:val="auto"/>
          <w:sz w:val="24"/>
          <w:szCs w:val="24"/>
          <w:highlight w:val="none"/>
          <w:shd w:val="clear" w:color="auto" w:fill="FFFFFF"/>
          <w:lang w:val="en-US" w:eastAsia="zh-CN"/>
        </w:rPr>
        <w:t>、</w:t>
      </w:r>
      <w:r>
        <w:rPr>
          <w:rFonts w:hint="eastAsia" w:ascii="宋体" w:hAnsi="宋体" w:eastAsia="宋体" w:cs="宋体"/>
          <w:b w:val="0"/>
          <w:bCs w:val="0"/>
          <w:color w:val="auto"/>
          <w:sz w:val="24"/>
          <w:szCs w:val="24"/>
          <w:highlight w:val="none"/>
          <w:shd w:val="clear" w:color="auto" w:fill="FFFFFF"/>
        </w:rPr>
        <w:t>其</w:t>
      </w:r>
      <w:r>
        <w:rPr>
          <w:rFonts w:hint="eastAsia" w:ascii="宋体" w:hAnsi="宋体" w:eastAsia="宋体" w:cs="宋体"/>
          <w:b w:val="0"/>
          <w:bCs w:val="0"/>
          <w:color w:val="auto"/>
          <w:sz w:val="24"/>
          <w:szCs w:val="24"/>
          <w:highlight w:val="none"/>
          <w:shd w:val="clear" w:color="auto" w:fill="FFFFFF"/>
          <w:lang w:eastAsia="zh-CN"/>
        </w:rPr>
        <w:t>他</w:t>
      </w:r>
      <w:r>
        <w:rPr>
          <w:rFonts w:hint="eastAsia" w:ascii="宋体" w:hAnsi="宋体" w:eastAsia="宋体" w:cs="宋体"/>
          <w:b w:val="0"/>
          <w:bCs w:val="0"/>
          <w:color w:val="auto"/>
          <w:sz w:val="24"/>
          <w:szCs w:val="24"/>
          <w:highlight w:val="none"/>
          <w:shd w:val="clear" w:color="auto" w:fill="FFFFFF"/>
        </w:rPr>
        <w:t>违反法律、法规、规章、制度，造成不良后果或严重侵害</w:t>
      </w:r>
      <w:r>
        <w:rPr>
          <w:rFonts w:hint="eastAsia" w:ascii="宋体" w:hAnsi="宋体" w:eastAsia="宋体" w:cs="宋体"/>
          <w:b w:val="0"/>
          <w:bCs w:val="0"/>
          <w:color w:val="auto"/>
          <w:sz w:val="24"/>
          <w:szCs w:val="24"/>
          <w:highlight w:val="none"/>
          <w:shd w:val="clear" w:color="auto" w:fill="FFFFFF"/>
          <w:lang w:eastAsia="zh-CN"/>
        </w:rPr>
        <w:t>招标人</w:t>
      </w:r>
      <w:r>
        <w:rPr>
          <w:rFonts w:hint="eastAsia" w:ascii="宋体" w:hAnsi="宋体" w:eastAsia="宋体" w:cs="宋体"/>
          <w:b w:val="0"/>
          <w:bCs w:val="0"/>
          <w:color w:val="auto"/>
          <w:sz w:val="24"/>
          <w:szCs w:val="24"/>
          <w:highlight w:val="none"/>
          <w:shd w:val="clear" w:color="auto" w:fill="FFFFFF"/>
        </w:rPr>
        <w:t>权益的，中标人应承担赔偿责任。</w:t>
      </w:r>
    </w:p>
    <w:p w14:paraId="2FF5052A">
      <w:pPr>
        <w:pStyle w:val="53"/>
        <w:spacing w:line="360" w:lineRule="auto"/>
        <w:ind w:firstLine="480"/>
        <w:jc w:val="left"/>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rPr>
        <w:t>11.1</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如若在履约期间发现中标人存在虚假应标，</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有权上报本项目监管部门。</w:t>
      </w:r>
    </w:p>
    <w:p w14:paraId="62EC49B1">
      <w:pPr>
        <w:pStyle w:val="53"/>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、本招标文件未明确的其它约定事项或条款，待招标人与中标人签订合同时，由双方协商订立。</w:t>
      </w:r>
    </w:p>
    <w:p w14:paraId="54887AC9">
      <w:pPr>
        <w:pStyle w:val="53"/>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、上述违约责任内容与本招标文件内容及要求的其他约定有冲突的，违约责任按就高不就低原则处理。</w:t>
      </w:r>
    </w:p>
    <w:p w14:paraId="01C23030">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不可抗力</w:t>
      </w:r>
    </w:p>
    <w:p w14:paraId="2085A742">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4158B3FE">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（2）合同中的不可抗力指不能预见、不能避免并不能克服的客观情况。包括但不限于：自然灾害如地震、台风、洪水、火灾；政府行为、法律规定或其适用的变化或者其他任何无法预见、避免或者控制的事件。</w:t>
      </w:r>
    </w:p>
    <w:p w14:paraId="3E76DFC8">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专利权及知识产权</w:t>
      </w:r>
    </w:p>
    <w:p w14:paraId="3191643D">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中标人须保障</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在使用该项目或其任何一部分时不受到第三方关于侵犯专利权、商标权或工业设计权等知识产权的指控。如果任何第三方提出侵权指控与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无关，中标人须与第三方交涉并承担可能发生的责任与一切费用。如</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因此而遭致损失的，中标人应赔偿该损失。</w:t>
      </w:r>
    </w:p>
    <w:p w14:paraId="30A04152">
      <w:pPr>
        <w:pStyle w:val="53"/>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廉政条款</w:t>
      </w:r>
    </w:p>
    <w:p w14:paraId="3F38CA8F">
      <w:pPr>
        <w:pStyle w:val="53"/>
        <w:spacing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中标人及其工作人员不得以任何形式行贿</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工作人员，若发现并被核查属实的，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有权解除合同且不退还履约保证金，情节严重的，中标人及其工作人员还需承担相应的法律责任；</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及其工作人员不得索要或接受中标人的礼金及吃请等，如有违反廉政纪律等行为的，依据有关规定处理，情节严重的，还应承担相应的法律责任。</w:t>
      </w:r>
    </w:p>
    <w:p w14:paraId="587E09A3">
      <w:pPr>
        <w:pStyle w:val="3"/>
        <w:bidi w:val="0"/>
        <w:jc w:val="both"/>
        <w:rPr>
          <w:rFonts w:hint="eastAsia"/>
          <w:color w:val="auto"/>
          <w:highlight w:val="none"/>
        </w:rPr>
      </w:pPr>
      <w:bookmarkStart w:id="104" w:name="_Toc3031"/>
      <w:r>
        <w:rPr>
          <w:rFonts w:hint="eastAsia"/>
          <w:color w:val="auto"/>
          <w:highlight w:val="none"/>
        </w:rPr>
        <w:t>四、其他事项</w:t>
      </w:r>
      <w:bookmarkEnd w:id="104"/>
    </w:p>
    <w:p w14:paraId="117C6588">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1、除招标文件另有规定外，若出现有关法律、法规和规章有强制性规定但招标文件未列明的情形，则投标人应按照有关法律、法规和规章强制性规定执行。</w:t>
      </w:r>
    </w:p>
    <w:p w14:paraId="7674D011">
      <w:pPr>
        <w:pStyle w:val="53"/>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本合同包所含项目不允许中标人以任何名义和理由进行转包，如有发现，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有权单方终止合同，且中标人必须赔偿由此给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 xml:space="preserve">带来的一切损失。 </w:t>
      </w:r>
    </w:p>
    <w:p w14:paraId="254E474A">
      <w:pPr>
        <w:pStyle w:val="53"/>
        <w:spacing w:line="360" w:lineRule="auto"/>
        <w:ind w:firstLine="480"/>
        <w:jc w:val="both"/>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、演示要求</w:t>
      </w:r>
    </w:p>
    <w:p w14:paraId="2721E8C0">
      <w:pPr>
        <w:pStyle w:val="53"/>
        <w:spacing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（1）投标人演示安排在项目开标当天进行，按照投标文件递交时间的顺序进行演示。</w:t>
      </w:r>
    </w:p>
    <w:p w14:paraId="115120FE">
      <w:pPr>
        <w:pStyle w:val="53"/>
        <w:spacing w:line="360" w:lineRule="auto"/>
        <w:ind w:firstLine="48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（2）全部演示项演示时间不超过30分钟。</w:t>
      </w:r>
    </w:p>
    <w:p w14:paraId="1BBAF0A5">
      <w:pPr>
        <w:pStyle w:val="53"/>
        <w:spacing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（3）若投标人主动放弃或者未按规定时间参加演示，均视同自行放弃演示和讲解权利，相应评分部分不得分。 </w:t>
      </w:r>
    </w:p>
    <w:p w14:paraId="058B6FD6">
      <w:pPr>
        <w:pStyle w:val="53"/>
        <w:spacing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（4）演示过程中，评委可以根据需要，对投标人演示的功能或说明的内容进行提问，投标人应积极响应评委的提问，投标人无法答复问题的，评委有权做出不利于投标人的评议和评分。</w:t>
      </w:r>
    </w:p>
    <w:p w14:paraId="512264FE">
      <w:pPr>
        <w:pStyle w:val="53"/>
        <w:spacing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（5）投标人演示环节作为本次评审依据，若本次招标需复核，评标委员会对演示不作再次评审，演示评审结果不作更改。</w:t>
      </w:r>
    </w:p>
    <w:p w14:paraId="43489CC7">
      <w:pPr>
        <w:pStyle w:val="3"/>
        <w:shd w:val="clear" w:color="auto" w:fill="auto"/>
        <w:bidi w:val="0"/>
        <w:jc w:val="center"/>
        <w:rPr>
          <w:color w:val="auto"/>
          <w:highlight w:val="none"/>
        </w:rPr>
      </w:pPr>
      <w:r>
        <w:rPr>
          <w:color w:val="auto"/>
          <w:highlight w:val="none"/>
        </w:rPr>
        <w:br w:type="page"/>
      </w:r>
      <w:bookmarkStart w:id="105" w:name="_Toc29031"/>
      <w:r>
        <w:rPr>
          <w:color w:val="auto"/>
          <w:highlight w:val="none"/>
        </w:rPr>
        <w:t>第四章   合同主要条款</w:t>
      </w:r>
      <w:bookmarkEnd w:id="105"/>
    </w:p>
    <w:p w14:paraId="43A2C3B5">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编制说明</w:t>
      </w:r>
      <w:r>
        <w:rPr>
          <w:rFonts w:hint="eastAsia" w:ascii="宋体" w:hAnsi="宋体" w:eastAsia="宋体" w:cs="宋体"/>
          <w:b/>
          <w:bCs/>
          <w:color w:val="auto"/>
          <w:kern w:val="0"/>
          <w:sz w:val="24"/>
          <w:szCs w:val="24"/>
          <w:highlight w:val="none"/>
          <w:lang w:val="en-US" w:eastAsia="zh-CN"/>
        </w:rPr>
        <w:t xml:space="preserve">  </w:t>
      </w:r>
    </w:p>
    <w:p w14:paraId="7FE311BF">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1、签订合同应遵守</w:t>
      </w:r>
      <w:r>
        <w:rPr>
          <w:rFonts w:hint="eastAsia" w:ascii="宋体" w:hAnsi="宋体" w:eastAsia="宋体" w:cs="宋体"/>
          <w:b/>
          <w:bCs/>
          <w:color w:val="auto"/>
          <w:kern w:val="0"/>
          <w:sz w:val="24"/>
          <w:szCs w:val="24"/>
          <w:highlight w:val="none"/>
          <w:lang w:eastAsia="zh-CN"/>
        </w:rPr>
        <w:t>中华人民共和国</w:t>
      </w:r>
      <w:r>
        <w:rPr>
          <w:rFonts w:hint="eastAsia" w:ascii="宋体" w:hAnsi="宋体" w:eastAsia="宋体" w:cs="宋体"/>
          <w:b/>
          <w:bCs/>
          <w:color w:val="auto"/>
          <w:kern w:val="0"/>
          <w:sz w:val="24"/>
          <w:szCs w:val="24"/>
          <w:highlight w:val="none"/>
        </w:rPr>
        <w:t>民法典。</w:t>
      </w:r>
    </w:p>
    <w:p w14:paraId="40A6B85B">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2、签订合同时，</w:t>
      </w:r>
      <w:r>
        <w:rPr>
          <w:rFonts w:hint="eastAsia" w:ascii="宋体" w:hAnsi="宋体" w:eastAsia="宋体" w:cs="宋体"/>
          <w:b/>
          <w:bCs/>
          <w:color w:val="auto"/>
          <w:kern w:val="0"/>
          <w:sz w:val="24"/>
          <w:szCs w:val="24"/>
          <w:highlight w:val="none"/>
          <w:lang w:eastAsia="zh-CN"/>
        </w:rPr>
        <w:t>招标人</w:t>
      </w:r>
      <w:r>
        <w:rPr>
          <w:rFonts w:hint="eastAsia" w:ascii="宋体" w:hAnsi="宋体" w:eastAsia="宋体" w:cs="宋体"/>
          <w:b/>
          <w:bCs/>
          <w:color w:val="auto"/>
          <w:kern w:val="0"/>
          <w:sz w:val="24"/>
          <w:szCs w:val="24"/>
          <w:highlight w:val="none"/>
        </w:rPr>
        <w:t>与中标人应结合</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章规定填列相应内容。</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章已有规定的，双方均不得变更或调整；</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章未作规定的，双方可通过友好协商进行约定。</w:t>
      </w:r>
    </w:p>
    <w:p w14:paraId="57D01886">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3、国家有关部门对若干合同有规范文本的，可使用相应合同文本。</w:t>
      </w:r>
    </w:p>
    <w:p w14:paraId="456EC1E6">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asci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招标人</w:t>
      </w:r>
      <w:r>
        <w:rPr>
          <w:rFonts w:hint="eastAsia" w:ascii="宋体" w:hAnsi="宋体" w:cs="宋体"/>
          <w:color w:val="auto"/>
          <w:kern w:val="0"/>
          <w:sz w:val="24"/>
          <w:highlight w:val="none"/>
          <w:u w:val="single"/>
        </w:rPr>
        <w:t>全称）</w:t>
      </w:r>
    </w:p>
    <w:p w14:paraId="51E96BFE">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left"/>
        <w:textAlignment w:val="baseline"/>
        <w:rPr>
          <w:rFonts w:asci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（中标人全称）</w:t>
      </w:r>
    </w:p>
    <w:p w14:paraId="29B1C44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rPr>
        <w:t>根据招标编号为</w:t>
      </w:r>
      <w:r>
        <w:rPr>
          <w:rFonts w:ascii="宋体" w:cs="宋体"/>
          <w:color w:val="auto"/>
          <w:kern w:val="0"/>
          <w:sz w:val="24"/>
          <w:highlight w:val="none"/>
          <w:u w:val="single"/>
        </w:rPr>
        <w:t>        </w:t>
      </w:r>
      <w:r>
        <w:rPr>
          <w:rFonts w:hint="eastAsia" w:ascii="宋体" w:cs="宋体"/>
          <w:color w:val="auto"/>
          <w:kern w:val="0"/>
          <w:sz w:val="24"/>
          <w:highlight w:val="none"/>
          <w:u w:val="single"/>
          <w:lang w:val="en-US" w:eastAsia="zh-CN"/>
        </w:rPr>
        <w:t xml:space="preserve">  </w:t>
      </w:r>
      <w:r>
        <w:rPr>
          <w:rFonts w:ascii="宋体" w:cs="宋体"/>
          <w:color w:val="auto"/>
          <w:kern w:val="0"/>
          <w:sz w:val="24"/>
          <w:highlight w:val="none"/>
          <w:u w:val="single"/>
        </w:rPr>
        <w:t>    </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（填写</w:t>
      </w:r>
      <w:r>
        <w:rPr>
          <w:rFonts w:hint="eastAsia" w:ascii="宋体" w:cs="宋体"/>
          <w:color w:val="auto"/>
          <w:kern w:val="0"/>
          <w:sz w:val="24"/>
          <w:highlight w:val="none"/>
          <w:u w:val="single"/>
        </w:rPr>
        <w:t>“</w:t>
      </w:r>
      <w:r>
        <w:rPr>
          <w:rFonts w:hint="eastAsia" w:ascii="宋体" w:hAnsi="宋体" w:cs="宋体"/>
          <w:color w:val="auto"/>
          <w:kern w:val="0"/>
          <w:sz w:val="24"/>
          <w:highlight w:val="none"/>
          <w:u w:val="single"/>
        </w:rPr>
        <w:t>项目名称</w:t>
      </w:r>
      <w:r>
        <w:rPr>
          <w:rFonts w:hint="eastAsia" w:asci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项目（以下简称：</w:t>
      </w:r>
      <w:r>
        <w:rPr>
          <w:rFonts w:hint="eastAsia" w:ascii="宋体" w:cs="宋体"/>
          <w:color w:val="auto"/>
          <w:kern w:val="0"/>
          <w:sz w:val="24"/>
          <w:highlight w:val="none"/>
        </w:rPr>
        <w:t>“</w:t>
      </w:r>
      <w:r>
        <w:rPr>
          <w:rFonts w:hint="eastAsia" w:ascii="宋体" w:hAnsi="宋体" w:cs="宋体"/>
          <w:color w:val="auto"/>
          <w:kern w:val="0"/>
          <w:sz w:val="24"/>
          <w:highlight w:val="none"/>
        </w:rPr>
        <w:t>本项目</w:t>
      </w:r>
      <w:r>
        <w:rPr>
          <w:rFonts w:hint="eastAsia" w:ascii="宋体" w:cs="宋体"/>
          <w:color w:val="auto"/>
          <w:kern w:val="0"/>
          <w:sz w:val="24"/>
          <w:highlight w:val="none"/>
        </w:rPr>
        <w:t>”</w:t>
      </w:r>
      <w:r>
        <w:rPr>
          <w:rFonts w:hint="eastAsia" w:ascii="宋体" w:hAnsi="宋体" w:cs="宋体"/>
          <w:color w:val="auto"/>
          <w:kern w:val="0"/>
          <w:sz w:val="24"/>
          <w:highlight w:val="none"/>
        </w:rPr>
        <w:t>）的招标结果，乙方为中标人。现经甲乙双方友好协商，就以下事项达成一致并签订本合同：</w:t>
      </w:r>
    </w:p>
    <w:p w14:paraId="3DB52F50">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、下列合同文件是构成本合同不可分割的部分：</w:t>
      </w:r>
    </w:p>
    <w:p w14:paraId="57B0891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1.1</w:t>
      </w:r>
      <w:r>
        <w:rPr>
          <w:rFonts w:hint="eastAsia" w:ascii="宋体" w:hAnsi="宋体" w:cs="宋体"/>
          <w:color w:val="auto"/>
          <w:kern w:val="0"/>
          <w:sz w:val="24"/>
          <w:highlight w:val="none"/>
        </w:rPr>
        <w:t>合同条款；</w:t>
      </w:r>
    </w:p>
    <w:p w14:paraId="2C02AD91">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1.2</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、乙方的投标文件；</w:t>
      </w:r>
    </w:p>
    <w:p w14:paraId="18AB82E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1.3</w:t>
      </w:r>
      <w:r>
        <w:rPr>
          <w:rFonts w:hint="eastAsia" w:ascii="宋体" w:hAnsi="宋体" w:cs="宋体"/>
          <w:color w:val="auto"/>
          <w:kern w:val="0"/>
          <w:sz w:val="24"/>
          <w:highlight w:val="none"/>
        </w:rPr>
        <w:t>其他文件或材料：</w:t>
      </w:r>
      <w:r>
        <w:rPr>
          <w:rFonts w:hint="eastAsia" w:ascii="宋体" w:cs="宋体"/>
          <w:color w:val="auto"/>
          <w:kern w:val="0"/>
          <w:sz w:val="24"/>
          <w:highlight w:val="none"/>
        </w:rPr>
        <w:t>□</w:t>
      </w:r>
      <w:r>
        <w:rPr>
          <w:rFonts w:hint="eastAsia" w:ascii="宋体" w:hAnsi="宋体" w:cs="宋体"/>
          <w:color w:val="auto"/>
          <w:kern w:val="0"/>
          <w:sz w:val="24"/>
          <w:highlight w:val="none"/>
        </w:rPr>
        <w:t>无。</w:t>
      </w:r>
      <w:r>
        <w:rPr>
          <w:rFonts w:hint="eastAsia" w:ascii="宋体" w:cs="宋体"/>
          <w:color w:val="auto"/>
          <w:kern w:val="0"/>
          <w:sz w:val="24"/>
          <w:highlight w:val="none"/>
        </w:rPr>
        <w:t>□</w:t>
      </w:r>
      <w:r>
        <w:rPr>
          <w:rFonts w:hint="eastAsia" w:ascii="宋体" w:hAnsi="宋体" w:cs="宋体"/>
          <w:color w:val="auto"/>
          <w:kern w:val="0"/>
          <w:sz w:val="24"/>
          <w:highlight w:val="none"/>
          <w:u w:val="single"/>
        </w:rPr>
        <w:t>（按照实际情况编制填写需要增加的内容）</w:t>
      </w:r>
      <w:r>
        <w:rPr>
          <w:rFonts w:hint="eastAsia" w:ascii="宋体" w:hAnsi="宋体" w:cs="宋体"/>
          <w:color w:val="auto"/>
          <w:kern w:val="0"/>
          <w:sz w:val="24"/>
          <w:highlight w:val="none"/>
        </w:rPr>
        <w:t>。</w:t>
      </w:r>
    </w:p>
    <w:p w14:paraId="1A183B3F">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、合同标的</w:t>
      </w:r>
    </w:p>
    <w:p w14:paraId="191F0366">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1E72C77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、合同总金额</w:t>
      </w:r>
    </w:p>
    <w:p w14:paraId="0B01012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3.1</w:t>
      </w:r>
      <w:r>
        <w:rPr>
          <w:rFonts w:hint="eastAsia" w:ascii="宋体" w:hAnsi="宋体" w:cs="宋体"/>
          <w:color w:val="auto"/>
          <w:kern w:val="0"/>
          <w:sz w:val="24"/>
          <w:highlight w:val="none"/>
        </w:rPr>
        <w:t>合同总金额为人民币大写：</w:t>
      </w:r>
      <w:r>
        <w:rPr>
          <w:rFonts w:ascii="宋体" w:cs="宋体"/>
          <w:color w:val="auto"/>
          <w:kern w:val="0"/>
          <w:sz w:val="24"/>
          <w:highlight w:val="none"/>
          <w:u w:val="single"/>
        </w:rPr>
        <w:t>              </w:t>
      </w:r>
      <w:r>
        <w:rPr>
          <w:rFonts w:hint="eastAsia" w:ascii="宋体" w:hAnsi="宋体" w:cs="宋体"/>
          <w:color w:val="auto"/>
          <w:kern w:val="0"/>
          <w:sz w:val="24"/>
          <w:highlight w:val="none"/>
        </w:rPr>
        <w:t>元（￥</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207F92F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、合同标的交付时间、地点和条件</w:t>
      </w:r>
    </w:p>
    <w:p w14:paraId="56A75750">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4.1</w:t>
      </w:r>
      <w:r>
        <w:rPr>
          <w:rFonts w:hint="eastAsia" w:ascii="宋体" w:hAnsi="宋体" w:cs="宋体"/>
          <w:color w:val="auto"/>
          <w:kern w:val="0"/>
          <w:sz w:val="24"/>
          <w:highlight w:val="none"/>
        </w:rPr>
        <w:t>交付时间：</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14B63AB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4.2</w:t>
      </w:r>
      <w:r>
        <w:rPr>
          <w:rFonts w:hint="eastAsia" w:ascii="宋体" w:hAnsi="宋体" w:cs="宋体"/>
          <w:color w:val="auto"/>
          <w:kern w:val="0"/>
          <w:sz w:val="24"/>
          <w:highlight w:val="none"/>
        </w:rPr>
        <w:t>交付地点：</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53950439">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4.3</w:t>
      </w:r>
      <w:r>
        <w:rPr>
          <w:rFonts w:hint="eastAsia" w:ascii="宋体" w:hAnsi="宋体" w:cs="宋体"/>
          <w:color w:val="auto"/>
          <w:kern w:val="0"/>
          <w:sz w:val="24"/>
          <w:highlight w:val="none"/>
        </w:rPr>
        <w:t>交付条件：</w:t>
      </w:r>
      <w:r>
        <w:rPr>
          <w:rFonts w:ascii="宋体" w:cs="宋体"/>
          <w:color w:val="auto"/>
          <w:kern w:val="0"/>
          <w:sz w:val="24"/>
          <w:highlight w:val="none"/>
          <w:u w:val="single"/>
        </w:rPr>
        <w:t>                     </w:t>
      </w:r>
      <w:r>
        <w:rPr>
          <w:rFonts w:hint="eastAsia" w:ascii="宋体" w:hAnsi="宋体" w:cs="宋体"/>
          <w:color w:val="auto"/>
          <w:kern w:val="0"/>
          <w:sz w:val="24"/>
          <w:highlight w:val="none"/>
        </w:rPr>
        <w:t>。</w:t>
      </w:r>
    </w:p>
    <w:p w14:paraId="663820CE">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、合同标的应符合</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、乙方投标文件的规定或约定，具体如下：</w:t>
      </w:r>
    </w:p>
    <w:p w14:paraId="57EA97C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49FB7A55">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、验收</w:t>
      </w:r>
    </w:p>
    <w:p w14:paraId="495EBEF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6.1</w:t>
      </w:r>
      <w:r>
        <w:rPr>
          <w:rFonts w:hint="eastAsia" w:ascii="宋体" w:hAnsi="宋体" w:cs="宋体"/>
          <w:color w:val="auto"/>
          <w:kern w:val="0"/>
          <w:sz w:val="24"/>
          <w:highlight w:val="none"/>
        </w:rPr>
        <w:t>验收应按照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、乙方投标文件的规定或约定进行，具体如下：</w:t>
      </w:r>
    </w:p>
    <w:p w14:paraId="3DEC9621">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33B597D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6.2</w:t>
      </w:r>
      <w:r>
        <w:rPr>
          <w:rFonts w:hint="eastAsia" w:ascii="宋体" w:hAnsi="宋体" w:cs="宋体"/>
          <w:color w:val="auto"/>
          <w:kern w:val="0"/>
          <w:sz w:val="24"/>
          <w:highlight w:val="none"/>
        </w:rPr>
        <w:t>本项目是否邀请其他投标人参与验收：</w:t>
      </w:r>
    </w:p>
    <w:p w14:paraId="2EEFBF7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不邀请。</w:t>
      </w:r>
      <w:r>
        <w:rPr>
          <w:rFonts w:hint="eastAsia" w:ascii="宋体" w:cs="宋体"/>
          <w:color w:val="auto"/>
          <w:kern w:val="0"/>
          <w:sz w:val="24"/>
          <w:highlight w:val="none"/>
        </w:rPr>
        <w:t>□</w:t>
      </w:r>
      <w:r>
        <w:rPr>
          <w:rFonts w:hint="eastAsia" w:ascii="宋体" w:hAnsi="宋体" w:cs="宋体"/>
          <w:color w:val="auto"/>
          <w:kern w:val="0"/>
          <w:sz w:val="24"/>
          <w:highlight w:val="none"/>
        </w:rPr>
        <w:t>邀请，具体如下：</w:t>
      </w:r>
      <w:r>
        <w:rPr>
          <w:rFonts w:hint="eastAsia" w:ascii="宋体" w:hAnsi="宋体" w:cs="宋体"/>
          <w:color w:val="auto"/>
          <w:kern w:val="0"/>
          <w:sz w:val="24"/>
          <w:highlight w:val="none"/>
          <w:u w:val="single"/>
        </w:rPr>
        <w:t>（按照</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规定填写）</w:t>
      </w:r>
      <w:r>
        <w:rPr>
          <w:rFonts w:hint="eastAsia" w:ascii="宋体" w:hAnsi="宋体" w:cs="宋体"/>
          <w:color w:val="auto"/>
          <w:kern w:val="0"/>
          <w:sz w:val="24"/>
          <w:highlight w:val="none"/>
        </w:rPr>
        <w:t>。</w:t>
      </w:r>
    </w:p>
    <w:p w14:paraId="0A08103B">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、合同款项的支付应按照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的规定进行，具体如下：</w:t>
      </w:r>
    </w:p>
    <w:p w14:paraId="68CD351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（按照实际情况编制填写，可以是表格或文字描述，包括一次性支付或分期支付等）</w:t>
      </w:r>
      <w:r>
        <w:rPr>
          <w:rFonts w:hint="eastAsia" w:ascii="宋体" w:hAnsi="宋体" w:cs="宋体"/>
          <w:color w:val="auto"/>
          <w:kern w:val="0"/>
          <w:sz w:val="24"/>
          <w:highlight w:val="none"/>
        </w:rPr>
        <w:t>。</w:t>
      </w:r>
    </w:p>
    <w:p w14:paraId="394F7637">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、履约保证金</w:t>
      </w:r>
    </w:p>
    <w:p w14:paraId="7A1CA73C">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无。</w:t>
      </w:r>
      <w:r>
        <w:rPr>
          <w:rFonts w:hint="eastAsia" w:ascii="宋体" w:cs="宋体"/>
          <w:color w:val="auto"/>
          <w:kern w:val="0"/>
          <w:sz w:val="24"/>
          <w:highlight w:val="none"/>
        </w:rPr>
        <w:t>□</w:t>
      </w:r>
      <w:r>
        <w:rPr>
          <w:rFonts w:hint="eastAsia" w:ascii="宋体" w:hAnsi="宋体" w:cs="宋体"/>
          <w:color w:val="auto"/>
          <w:kern w:val="0"/>
          <w:sz w:val="24"/>
          <w:highlight w:val="none"/>
        </w:rPr>
        <w:t>有，具体如下：</w:t>
      </w:r>
      <w:r>
        <w:rPr>
          <w:rFonts w:hint="eastAsia" w:ascii="宋体" w:hAnsi="宋体" w:cs="宋体"/>
          <w:color w:val="auto"/>
          <w:kern w:val="0"/>
          <w:sz w:val="24"/>
          <w:highlight w:val="none"/>
          <w:u w:val="single"/>
        </w:rPr>
        <w:t>（按照</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规定填写）</w:t>
      </w:r>
      <w:r>
        <w:rPr>
          <w:rFonts w:hint="eastAsia" w:ascii="宋体" w:hAnsi="宋体" w:cs="宋体"/>
          <w:color w:val="auto"/>
          <w:kern w:val="0"/>
          <w:sz w:val="24"/>
          <w:highlight w:val="none"/>
        </w:rPr>
        <w:t>。</w:t>
      </w:r>
    </w:p>
    <w:p w14:paraId="58A90C2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、合同有效期</w:t>
      </w:r>
    </w:p>
    <w:p w14:paraId="45AA4029">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11093BBD">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、违约责任</w:t>
      </w:r>
    </w:p>
    <w:p w14:paraId="7969409E">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（按照实际情况编制填写，可以是表格或文字描述）</w:t>
      </w:r>
      <w:r>
        <w:rPr>
          <w:rFonts w:hint="eastAsia" w:ascii="宋体" w:hAnsi="宋体" w:cs="宋体"/>
          <w:color w:val="auto"/>
          <w:kern w:val="0"/>
          <w:sz w:val="24"/>
          <w:highlight w:val="none"/>
        </w:rPr>
        <w:t>。</w:t>
      </w:r>
    </w:p>
    <w:p w14:paraId="6D523E7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、解决争议的方法</w:t>
      </w:r>
    </w:p>
    <w:p w14:paraId="6D2A021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.1</w:t>
      </w:r>
      <w:r>
        <w:rPr>
          <w:rFonts w:hint="eastAsia" w:ascii="宋体" w:hAnsi="宋体" w:cs="宋体"/>
          <w:color w:val="auto"/>
          <w:kern w:val="0"/>
          <w:sz w:val="24"/>
          <w:highlight w:val="none"/>
        </w:rPr>
        <w:t>甲、乙双方协商解决。</w:t>
      </w:r>
    </w:p>
    <w:p w14:paraId="5E775EF8">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.2</w:t>
      </w:r>
      <w:r>
        <w:rPr>
          <w:rFonts w:hint="eastAsia" w:ascii="宋体" w:hAnsi="宋体" w:cs="宋体"/>
          <w:color w:val="auto"/>
          <w:kern w:val="0"/>
          <w:sz w:val="24"/>
          <w:highlight w:val="none"/>
        </w:rPr>
        <w:t>若协商解决不成，则通过下列途径之一解决：</w:t>
      </w:r>
    </w:p>
    <w:p w14:paraId="4FD0209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提交仲裁委员会仲裁，具体如下：</w:t>
      </w:r>
      <w:r>
        <w:rPr>
          <w:rFonts w:hint="eastAsia" w:ascii="宋体" w:hAnsi="宋体" w:cs="宋体"/>
          <w:color w:val="auto"/>
          <w:kern w:val="0"/>
          <w:sz w:val="24"/>
          <w:highlight w:val="none"/>
          <w:u w:val="single"/>
        </w:rPr>
        <w:t>（按照实际情况编制填写）</w:t>
      </w:r>
      <w:r>
        <w:rPr>
          <w:rFonts w:hint="eastAsia" w:ascii="宋体" w:hAnsi="宋体" w:cs="宋体"/>
          <w:color w:val="auto"/>
          <w:kern w:val="0"/>
          <w:sz w:val="24"/>
          <w:highlight w:val="none"/>
        </w:rPr>
        <w:t>。</w:t>
      </w:r>
    </w:p>
    <w:p w14:paraId="363EF57C">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cs="宋体"/>
          <w:color w:val="auto"/>
          <w:kern w:val="0"/>
          <w:sz w:val="24"/>
          <w:highlight w:val="none"/>
        </w:rPr>
        <w:t>□</w:t>
      </w:r>
      <w:r>
        <w:rPr>
          <w:rFonts w:hint="eastAsia" w:ascii="宋体" w:hAnsi="宋体" w:cs="宋体"/>
          <w:color w:val="auto"/>
          <w:kern w:val="0"/>
          <w:sz w:val="24"/>
          <w:highlight w:val="none"/>
        </w:rPr>
        <w:t>向人民法院提起诉讼，具体如下：</w:t>
      </w:r>
      <w:r>
        <w:rPr>
          <w:rFonts w:hint="eastAsia" w:ascii="宋体" w:hAnsi="宋体" w:cs="宋体"/>
          <w:color w:val="auto"/>
          <w:kern w:val="0"/>
          <w:sz w:val="24"/>
          <w:highlight w:val="none"/>
          <w:u w:val="single"/>
        </w:rPr>
        <w:t>（按照实际情况编制填写）</w:t>
      </w:r>
      <w:r>
        <w:rPr>
          <w:rFonts w:hint="eastAsia" w:ascii="宋体" w:hAnsi="宋体" w:cs="宋体"/>
          <w:color w:val="auto"/>
          <w:kern w:val="0"/>
          <w:sz w:val="24"/>
          <w:highlight w:val="none"/>
        </w:rPr>
        <w:t>。</w:t>
      </w:r>
    </w:p>
    <w:p w14:paraId="61A47CA2">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、不可抗力</w:t>
      </w:r>
    </w:p>
    <w:p w14:paraId="746BEE7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.1</w:t>
      </w:r>
      <w:r>
        <w:rPr>
          <w:rFonts w:hint="eastAsia" w:ascii="宋体" w:hAnsi="宋体" w:cs="宋体"/>
          <w:color w:val="auto"/>
          <w:kern w:val="0"/>
          <w:sz w:val="24"/>
          <w:highlight w:val="none"/>
        </w:rPr>
        <w:t>因不可抗力造成违约的，遭受不可抗力一方应及时向对方通报不能履行或不能完全履行的理由，并在随后取得有关主管机关证明后的</w:t>
      </w:r>
      <w:r>
        <w:rPr>
          <w:rFonts w:cs="Calibri"/>
          <w:color w:val="auto"/>
          <w:kern w:val="0"/>
          <w:sz w:val="24"/>
          <w:highlight w:val="none"/>
        </w:rPr>
        <w:t>15</w:t>
      </w:r>
      <w:r>
        <w:rPr>
          <w:rFonts w:hint="eastAsia" w:ascii="宋体" w:hAnsi="宋体" w:cs="宋体"/>
          <w:color w:val="auto"/>
          <w:kern w:val="0"/>
          <w:sz w:val="24"/>
          <w:highlight w:val="none"/>
        </w:rPr>
        <w:t>日内向另一方提供不可抗力发生及持续期间的充分证据。基于以上行为，允许遭受不可抗力一方延期履行、部分履行或不履行合同，并根据情况可部分或全部免于承担违约责任。</w:t>
      </w:r>
    </w:p>
    <w:p w14:paraId="509B9E1F">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.2</w:t>
      </w:r>
      <w:r>
        <w:rPr>
          <w:rFonts w:hint="eastAsia" w:ascii="宋体" w:hAnsi="宋体" w:cs="宋体"/>
          <w:color w:val="auto"/>
          <w:kern w:val="0"/>
          <w:sz w:val="24"/>
          <w:highlight w:val="none"/>
        </w:rPr>
        <w:t>本合同中的不可抗力指不能预见、不能避免、不能克服的客观情况，包括但不限于：自然灾害如地震、台风、洪水、火灾及政府行为、法律规定或其适用的变化或其他任何无法预见、避免或控制的事件。</w:t>
      </w:r>
    </w:p>
    <w:p w14:paraId="00184E74">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、合同条款</w:t>
      </w:r>
    </w:p>
    <w:p w14:paraId="624BC292">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hint="eastAsia" w:ascii="宋体" w:hAnsi="宋体" w:cs="宋体"/>
          <w:color w:val="auto"/>
          <w:kern w:val="0"/>
          <w:sz w:val="24"/>
          <w:highlight w:val="none"/>
          <w:u w:val="single"/>
        </w:rPr>
        <w:t>（按照实际情况编制填写。</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第</w:t>
      </w:r>
      <w:r>
        <w:rPr>
          <w:rFonts w:hint="eastAsia" w:ascii="宋体" w:hAnsi="宋体" w:cs="宋体"/>
          <w:color w:val="auto"/>
          <w:kern w:val="0"/>
          <w:sz w:val="24"/>
          <w:highlight w:val="none"/>
          <w:u w:val="single"/>
          <w:lang w:eastAsia="zh-CN"/>
        </w:rPr>
        <w:t>三</w:t>
      </w:r>
      <w:r>
        <w:rPr>
          <w:rFonts w:hint="eastAsia" w:ascii="宋体" w:hAnsi="宋体" w:cs="宋体"/>
          <w:color w:val="auto"/>
          <w:kern w:val="0"/>
          <w:sz w:val="24"/>
          <w:highlight w:val="none"/>
          <w:u w:val="single"/>
        </w:rPr>
        <w:t>章已有规定的，双方均不得变更或调整；</w:t>
      </w:r>
      <w:r>
        <w:rPr>
          <w:rFonts w:hint="eastAsia" w:ascii="宋体" w:hAnsi="宋体" w:cs="宋体"/>
          <w:color w:val="auto"/>
          <w:kern w:val="0"/>
          <w:sz w:val="24"/>
          <w:highlight w:val="none"/>
          <w:u w:val="single"/>
          <w:lang w:eastAsia="zh-CN"/>
        </w:rPr>
        <w:t>招标文件</w:t>
      </w:r>
      <w:r>
        <w:rPr>
          <w:rFonts w:hint="eastAsia" w:ascii="宋体" w:hAnsi="宋体" w:cs="宋体"/>
          <w:color w:val="auto"/>
          <w:kern w:val="0"/>
          <w:sz w:val="24"/>
          <w:highlight w:val="none"/>
          <w:u w:val="single"/>
        </w:rPr>
        <w:t>第</w:t>
      </w:r>
      <w:r>
        <w:rPr>
          <w:rFonts w:hint="eastAsia" w:ascii="宋体" w:hAnsi="宋体" w:cs="宋体"/>
          <w:color w:val="auto"/>
          <w:kern w:val="0"/>
          <w:sz w:val="24"/>
          <w:highlight w:val="none"/>
          <w:u w:val="single"/>
          <w:lang w:eastAsia="zh-CN"/>
        </w:rPr>
        <w:t>三</w:t>
      </w:r>
      <w:r>
        <w:rPr>
          <w:rFonts w:hint="eastAsia" w:ascii="宋体" w:hAnsi="宋体" w:cs="宋体"/>
          <w:color w:val="auto"/>
          <w:kern w:val="0"/>
          <w:sz w:val="24"/>
          <w:highlight w:val="none"/>
          <w:u w:val="single"/>
        </w:rPr>
        <w:t>章未作规定的，双方可通过友好协商进行约定）</w:t>
      </w:r>
      <w:r>
        <w:rPr>
          <w:rFonts w:hint="eastAsia" w:ascii="宋体" w:hAnsi="宋体" w:cs="宋体"/>
          <w:color w:val="auto"/>
          <w:kern w:val="0"/>
          <w:sz w:val="24"/>
          <w:highlight w:val="none"/>
        </w:rPr>
        <w:t>。</w:t>
      </w:r>
    </w:p>
    <w:p w14:paraId="6C12DD3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、其他约定</w:t>
      </w:r>
    </w:p>
    <w:p w14:paraId="6E6A8A56">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.1</w:t>
      </w:r>
      <w:r>
        <w:rPr>
          <w:rFonts w:hint="eastAsia" w:ascii="宋体" w:hAnsi="宋体" w:cs="宋体"/>
          <w:color w:val="auto"/>
          <w:kern w:val="0"/>
          <w:sz w:val="24"/>
          <w:highlight w:val="none"/>
        </w:rPr>
        <w:t>合同文件与本合同具有同等法律效力。</w:t>
      </w:r>
    </w:p>
    <w:p w14:paraId="6A4557D5">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.2</w:t>
      </w:r>
      <w:r>
        <w:rPr>
          <w:rFonts w:hint="eastAsia" w:ascii="宋体" w:hAnsi="宋体" w:cs="宋体"/>
          <w:color w:val="auto"/>
          <w:kern w:val="0"/>
          <w:sz w:val="24"/>
          <w:highlight w:val="none"/>
        </w:rPr>
        <w:t>本合同未尽事宜，双方可另行补充。</w:t>
      </w:r>
    </w:p>
    <w:p w14:paraId="4DEBA340">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.3</w:t>
      </w:r>
      <w:r>
        <w:rPr>
          <w:rFonts w:hint="eastAsia" w:ascii="宋体" w:hAnsi="宋体" w:cs="宋体"/>
          <w:color w:val="auto"/>
          <w:kern w:val="0"/>
          <w:sz w:val="24"/>
          <w:highlight w:val="none"/>
        </w:rPr>
        <w:t>合同有效期：自签订之日起生效，有效期一年；或以合同总金额为时间截点。</w:t>
      </w:r>
    </w:p>
    <w:p w14:paraId="3C9A6243">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.4</w:t>
      </w: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rPr>
        <w:t>（填写具体份数）</w:t>
      </w:r>
      <w:r>
        <w:rPr>
          <w:rFonts w:hint="eastAsia" w:ascii="宋体" w:hAnsi="宋体" w:cs="宋体"/>
          <w:color w:val="auto"/>
          <w:kern w:val="0"/>
          <w:sz w:val="24"/>
          <w:highlight w:val="none"/>
        </w:rPr>
        <w:t>份，经双方授权代表签字并盖章后生效。甲方、乙方各执</w:t>
      </w:r>
      <w:r>
        <w:rPr>
          <w:rFonts w:hint="eastAsia" w:ascii="宋体" w:hAnsi="宋体" w:cs="宋体"/>
          <w:color w:val="auto"/>
          <w:kern w:val="0"/>
          <w:sz w:val="24"/>
          <w:highlight w:val="none"/>
          <w:u w:val="single"/>
        </w:rPr>
        <w:t>（填写具体份数）</w:t>
      </w:r>
      <w:r>
        <w:rPr>
          <w:rFonts w:hint="eastAsia" w:ascii="宋体" w:hAnsi="宋体" w:cs="宋体"/>
          <w:color w:val="auto"/>
          <w:kern w:val="0"/>
          <w:sz w:val="24"/>
          <w:highlight w:val="none"/>
        </w:rPr>
        <w:t>份，送</w:t>
      </w:r>
      <w:r>
        <w:rPr>
          <w:rFonts w:hint="eastAsia" w:ascii="宋体" w:hAnsi="宋体" w:cs="宋体"/>
          <w:color w:val="auto"/>
          <w:kern w:val="0"/>
          <w:sz w:val="24"/>
          <w:highlight w:val="none"/>
          <w:u w:val="single"/>
        </w:rPr>
        <w:t>（填写需要备案的监管部门的全称）</w:t>
      </w:r>
      <w:r>
        <w:rPr>
          <w:rFonts w:hint="eastAsia" w:ascii="宋体" w:hAnsi="宋体" w:cs="宋体"/>
          <w:color w:val="auto"/>
          <w:kern w:val="0"/>
          <w:sz w:val="24"/>
          <w:highlight w:val="none"/>
        </w:rPr>
        <w:t>备案</w:t>
      </w:r>
      <w:r>
        <w:rPr>
          <w:rFonts w:hint="eastAsia" w:ascii="宋体" w:hAnsi="宋体" w:cs="宋体"/>
          <w:color w:val="auto"/>
          <w:kern w:val="0"/>
          <w:sz w:val="24"/>
          <w:highlight w:val="none"/>
          <w:u w:val="single"/>
        </w:rPr>
        <w:t>（填写具体份数）</w:t>
      </w:r>
      <w:r>
        <w:rPr>
          <w:rFonts w:hint="eastAsia" w:ascii="宋体" w:hAnsi="宋体" w:cs="宋体"/>
          <w:color w:val="auto"/>
          <w:kern w:val="0"/>
          <w:sz w:val="24"/>
          <w:highlight w:val="none"/>
        </w:rPr>
        <w:t>份，具有同等效力。</w:t>
      </w:r>
    </w:p>
    <w:p w14:paraId="49C6933A">
      <w:pPr>
        <w:keepNext w:val="0"/>
        <w:keepLines w:val="0"/>
        <w:pageBreakBefore w:val="0"/>
        <w:widowControl/>
        <w:shd w:val="clear" w:color="auto" w:fill="auto"/>
        <w:kinsoku/>
        <w:wordWrap/>
        <w:overflowPunct/>
        <w:topLinePunct w:val="0"/>
        <w:autoSpaceDE/>
        <w:autoSpaceDN/>
        <w:bidi w:val="0"/>
        <w:adjustRightInd/>
        <w:spacing w:before="75" w:after="75" w:line="500" w:lineRule="exact"/>
        <w:ind w:firstLine="480"/>
        <w:jc w:val="left"/>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.5</w:t>
      </w:r>
      <w:r>
        <w:rPr>
          <w:rFonts w:hint="eastAsia" w:ascii="宋体" w:hAnsi="宋体" w:cs="宋体"/>
          <w:color w:val="auto"/>
          <w:kern w:val="0"/>
          <w:sz w:val="24"/>
          <w:highlight w:val="none"/>
        </w:rPr>
        <w:t>其他：</w:t>
      </w:r>
      <w:r>
        <w:rPr>
          <w:rFonts w:hint="eastAsia" w:ascii="宋体" w:cs="宋体"/>
          <w:color w:val="auto"/>
          <w:kern w:val="0"/>
          <w:sz w:val="24"/>
          <w:highlight w:val="none"/>
        </w:rPr>
        <w:t>□</w:t>
      </w:r>
      <w:r>
        <w:rPr>
          <w:rFonts w:hint="eastAsia" w:ascii="宋体" w:hAnsi="宋体" w:cs="宋体"/>
          <w:color w:val="auto"/>
          <w:kern w:val="0"/>
          <w:sz w:val="24"/>
          <w:highlight w:val="none"/>
        </w:rPr>
        <w:t>无。</w:t>
      </w:r>
      <w:r>
        <w:rPr>
          <w:rFonts w:hint="eastAsia" w:ascii="宋体" w:cs="宋体"/>
          <w:color w:val="auto"/>
          <w:kern w:val="0"/>
          <w:sz w:val="24"/>
          <w:highlight w:val="none"/>
        </w:rPr>
        <w:t>□</w:t>
      </w:r>
      <w:r>
        <w:rPr>
          <w:rFonts w:hint="eastAsia" w:ascii="宋体" w:hAnsi="宋体" w:cs="宋体"/>
          <w:color w:val="auto"/>
          <w:kern w:val="0"/>
          <w:sz w:val="24"/>
          <w:highlight w:val="none"/>
          <w:u w:val="single"/>
        </w:rPr>
        <w:t>（按照实际情况编制填写需要增加的内容）</w:t>
      </w:r>
      <w:r>
        <w:rPr>
          <w:rFonts w:hint="eastAsia" w:ascii="宋体" w:hAnsi="宋体" w:cs="宋体"/>
          <w:color w:val="auto"/>
          <w:kern w:val="0"/>
          <w:sz w:val="24"/>
          <w:highlight w:val="none"/>
        </w:rPr>
        <w:t>。</w:t>
      </w:r>
    </w:p>
    <w:p w14:paraId="018D9AE9">
      <w:pPr>
        <w:keepNext w:val="0"/>
        <w:keepLines w:val="0"/>
        <w:pageBreakBefore w:val="0"/>
        <w:widowControl/>
        <w:shd w:val="clear" w:color="auto" w:fill="auto"/>
        <w:kinsoku/>
        <w:wordWrap/>
        <w:overflowPunct/>
        <w:topLinePunct w:val="0"/>
        <w:autoSpaceDE/>
        <w:autoSpaceDN/>
        <w:bidi w:val="0"/>
        <w:adjustRightInd/>
        <w:spacing w:before="75" w:after="75" w:line="500" w:lineRule="exact"/>
        <w:jc w:val="center"/>
        <w:textAlignment w:val="baseline"/>
        <w:rPr>
          <w:rFonts w:ascii="宋体" w:cs="宋体"/>
          <w:color w:val="auto"/>
          <w:kern w:val="0"/>
          <w:sz w:val="24"/>
          <w:highlight w:val="none"/>
        </w:rPr>
      </w:pPr>
      <w:r>
        <w:rPr>
          <w:rFonts w:hint="eastAsia" w:ascii="宋体" w:hAnsi="宋体" w:cs="宋体"/>
          <w:color w:val="auto"/>
          <w:kern w:val="0"/>
          <w:sz w:val="24"/>
          <w:highlight w:val="none"/>
        </w:rPr>
        <w:t>（以下无正文）</w:t>
      </w:r>
    </w:p>
    <w:p w14:paraId="236C8B0C">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甲方：</w:t>
      </w:r>
      <w:r>
        <w:rPr>
          <w:color w:val="auto"/>
          <w:sz w:val="24"/>
          <w:highlight w:val="none"/>
        </w:rPr>
        <w:t xml:space="preserve">                                                    </w:t>
      </w:r>
      <w:r>
        <w:rPr>
          <w:rFonts w:hint="eastAsia"/>
          <w:color w:val="auto"/>
          <w:sz w:val="24"/>
          <w:highlight w:val="none"/>
        </w:rPr>
        <w:t>乙方：</w:t>
      </w:r>
    </w:p>
    <w:p w14:paraId="659579CA">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住所：</w:t>
      </w:r>
      <w:r>
        <w:rPr>
          <w:color w:val="auto"/>
          <w:sz w:val="24"/>
          <w:highlight w:val="none"/>
        </w:rPr>
        <w:t xml:space="preserve">                                                    </w:t>
      </w:r>
      <w:r>
        <w:rPr>
          <w:rFonts w:hint="eastAsia"/>
          <w:color w:val="auto"/>
          <w:sz w:val="24"/>
          <w:highlight w:val="none"/>
        </w:rPr>
        <w:t>住所：</w:t>
      </w:r>
    </w:p>
    <w:p w14:paraId="027177B3">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单位负责人：</w:t>
      </w:r>
      <w:r>
        <w:rPr>
          <w:color w:val="auto"/>
          <w:sz w:val="24"/>
          <w:highlight w:val="none"/>
        </w:rPr>
        <w:t xml:space="preserve">                                           </w:t>
      </w:r>
      <w:r>
        <w:rPr>
          <w:rFonts w:hint="eastAsia"/>
          <w:color w:val="auto"/>
          <w:sz w:val="24"/>
          <w:highlight w:val="none"/>
        </w:rPr>
        <w:t>单位负责人：</w:t>
      </w:r>
    </w:p>
    <w:p w14:paraId="7F058914">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委托代理人：</w:t>
      </w:r>
      <w:r>
        <w:rPr>
          <w:color w:val="auto"/>
          <w:sz w:val="24"/>
          <w:highlight w:val="none"/>
        </w:rPr>
        <w:t xml:space="preserve">                                           </w:t>
      </w:r>
      <w:r>
        <w:rPr>
          <w:rFonts w:hint="eastAsia"/>
          <w:color w:val="auto"/>
          <w:sz w:val="24"/>
          <w:highlight w:val="none"/>
        </w:rPr>
        <w:t>委托代理人：</w:t>
      </w:r>
    </w:p>
    <w:p w14:paraId="4CFB255B">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联系方法：</w:t>
      </w:r>
      <w:r>
        <w:rPr>
          <w:color w:val="auto"/>
          <w:sz w:val="24"/>
          <w:highlight w:val="none"/>
        </w:rPr>
        <w:t xml:space="preserve">                                              </w:t>
      </w:r>
      <w:r>
        <w:rPr>
          <w:rFonts w:hint="eastAsia"/>
          <w:color w:val="auto"/>
          <w:sz w:val="24"/>
          <w:highlight w:val="none"/>
        </w:rPr>
        <w:t>联系方法：</w:t>
      </w:r>
    </w:p>
    <w:p w14:paraId="44331458">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开户银行：</w:t>
      </w:r>
      <w:r>
        <w:rPr>
          <w:color w:val="auto"/>
          <w:sz w:val="24"/>
          <w:highlight w:val="none"/>
        </w:rPr>
        <w:t xml:space="preserve">                                              </w:t>
      </w:r>
      <w:r>
        <w:rPr>
          <w:rFonts w:hint="eastAsia"/>
          <w:color w:val="auto"/>
          <w:sz w:val="24"/>
          <w:highlight w:val="none"/>
        </w:rPr>
        <w:t>开户银行：</w:t>
      </w:r>
    </w:p>
    <w:p w14:paraId="26460792">
      <w:pPr>
        <w:keepNext w:val="0"/>
        <w:keepLines w:val="0"/>
        <w:pageBreakBefore w:val="0"/>
        <w:widowControl/>
        <w:shd w:val="clear" w:color="auto" w:fill="auto"/>
        <w:kinsoku/>
        <w:wordWrap/>
        <w:overflowPunct/>
        <w:topLinePunct w:val="0"/>
        <w:autoSpaceDE/>
        <w:autoSpaceDN/>
        <w:bidi w:val="0"/>
        <w:adjustRightInd/>
        <w:spacing w:line="240" w:lineRule="auto"/>
        <w:textAlignment w:val="baseline"/>
        <w:rPr>
          <w:color w:val="auto"/>
          <w:sz w:val="24"/>
          <w:highlight w:val="none"/>
        </w:rPr>
      </w:pPr>
      <w:r>
        <w:rPr>
          <w:rFonts w:hint="eastAsia"/>
          <w:color w:val="auto"/>
          <w:sz w:val="24"/>
          <w:highlight w:val="none"/>
        </w:rPr>
        <w:t>账号：</w:t>
      </w:r>
      <w:r>
        <w:rPr>
          <w:color w:val="auto"/>
          <w:sz w:val="24"/>
          <w:highlight w:val="none"/>
        </w:rPr>
        <w:t xml:space="preserve">                                                    </w:t>
      </w:r>
      <w:r>
        <w:rPr>
          <w:rFonts w:hint="eastAsia"/>
          <w:color w:val="auto"/>
          <w:sz w:val="24"/>
          <w:highlight w:val="none"/>
        </w:rPr>
        <w:t>账号：</w:t>
      </w:r>
    </w:p>
    <w:p w14:paraId="0ABE4204">
      <w:pPr>
        <w:keepNext w:val="0"/>
        <w:keepLines w:val="0"/>
        <w:pageBreakBefore w:val="0"/>
        <w:widowControl/>
        <w:shd w:val="clear" w:color="auto" w:fill="auto"/>
        <w:kinsoku/>
        <w:wordWrap/>
        <w:overflowPunct/>
        <w:topLinePunct w:val="0"/>
        <w:autoSpaceDE/>
        <w:autoSpaceDN/>
        <w:bidi w:val="0"/>
        <w:adjustRightInd/>
        <w:spacing w:before="75" w:after="75" w:line="240" w:lineRule="auto"/>
        <w:jc w:val="left"/>
        <w:textAlignment w:val="baseline"/>
        <w:rPr>
          <w:rFonts w:ascii="宋体" w:cs="宋体"/>
          <w:color w:val="auto"/>
          <w:kern w:val="0"/>
          <w:sz w:val="24"/>
          <w:highlight w:val="none"/>
        </w:rPr>
      </w:pPr>
      <w:r>
        <w:rPr>
          <w:rFonts w:ascii="宋体" w:cs="宋体"/>
          <w:color w:val="auto"/>
          <w:kern w:val="0"/>
          <w:sz w:val="24"/>
          <w:highlight w:val="none"/>
        </w:rPr>
        <w:t> </w:t>
      </w:r>
    </w:p>
    <w:p w14:paraId="18EDBCAC">
      <w:pPr>
        <w:keepNext w:val="0"/>
        <w:keepLines w:val="0"/>
        <w:pageBreakBefore w:val="0"/>
        <w:widowControl/>
        <w:shd w:val="clear" w:color="auto" w:fill="auto"/>
        <w:kinsoku/>
        <w:wordWrap/>
        <w:overflowPunct/>
        <w:topLinePunct w:val="0"/>
        <w:autoSpaceDE/>
        <w:autoSpaceDN/>
        <w:bidi w:val="0"/>
        <w:adjustRightInd/>
        <w:spacing w:before="75" w:after="75" w:line="240" w:lineRule="auto"/>
        <w:jc w:val="left"/>
        <w:textAlignment w:val="baseline"/>
        <w:rPr>
          <w:rFonts w:ascii="宋体" w:cs="宋体"/>
          <w:color w:val="auto"/>
          <w:kern w:val="0"/>
          <w:sz w:val="24"/>
          <w:highlight w:val="none"/>
        </w:rPr>
      </w:pPr>
      <w:r>
        <w:rPr>
          <w:rFonts w:hint="eastAsia" w:ascii="宋体" w:hAnsi="宋体" w:cs="宋体"/>
          <w:color w:val="auto"/>
          <w:kern w:val="0"/>
          <w:sz w:val="24"/>
          <w:highlight w:val="none"/>
        </w:rPr>
        <w:t>签订地点：</w:t>
      </w:r>
      <w:r>
        <w:rPr>
          <w:rFonts w:ascii="宋体" w:cs="宋体"/>
          <w:color w:val="auto"/>
          <w:kern w:val="0"/>
          <w:sz w:val="24"/>
          <w:highlight w:val="none"/>
          <w:u w:val="single"/>
        </w:rPr>
        <w:t>                </w:t>
      </w:r>
    </w:p>
    <w:p w14:paraId="03E5433D">
      <w:pPr>
        <w:keepNext w:val="0"/>
        <w:keepLines w:val="0"/>
        <w:pageBreakBefore w:val="0"/>
        <w:widowControl/>
        <w:shd w:val="clear" w:color="auto" w:fill="auto"/>
        <w:kinsoku/>
        <w:wordWrap/>
        <w:overflowPunct/>
        <w:topLinePunct w:val="0"/>
        <w:autoSpaceDE/>
        <w:autoSpaceDN/>
        <w:bidi w:val="0"/>
        <w:adjustRightInd/>
        <w:spacing w:before="75" w:after="240" w:line="240" w:lineRule="auto"/>
        <w:jc w:val="left"/>
        <w:textAlignment w:val="baseline"/>
        <w:rPr>
          <w:rFonts w:ascii="宋体" w:cs="宋体"/>
          <w:color w:val="auto"/>
          <w:kern w:val="0"/>
          <w:sz w:val="24"/>
          <w:highlight w:val="none"/>
        </w:rPr>
      </w:pPr>
      <w:r>
        <w:rPr>
          <w:rFonts w:hint="eastAsia" w:ascii="宋体" w:hAnsi="宋体" w:cs="宋体"/>
          <w:color w:val="auto"/>
          <w:kern w:val="0"/>
          <w:sz w:val="24"/>
          <w:highlight w:val="none"/>
        </w:rPr>
        <w:t>签订日期：</w:t>
      </w:r>
      <w:r>
        <w:rPr>
          <w:rFonts w:ascii="宋体" w:cs="宋体"/>
          <w:color w:val="auto"/>
          <w:kern w:val="0"/>
          <w:sz w:val="24"/>
          <w:highlight w:val="none"/>
          <w:u w:val="single"/>
        </w:rPr>
        <w:t>    </w:t>
      </w:r>
      <w:r>
        <w:rPr>
          <w:rFonts w:hint="eastAsia" w:ascii="宋体" w:hAnsi="宋体" w:cs="宋体"/>
          <w:color w:val="auto"/>
          <w:kern w:val="0"/>
          <w:sz w:val="24"/>
          <w:highlight w:val="none"/>
        </w:rPr>
        <w:t>年</w:t>
      </w:r>
      <w:r>
        <w:rPr>
          <w:rFonts w:ascii="宋体" w:cs="宋体"/>
          <w:color w:val="auto"/>
          <w:kern w:val="0"/>
          <w:sz w:val="24"/>
          <w:highlight w:val="none"/>
          <w:u w:val="single"/>
        </w:rPr>
        <w:t>   </w:t>
      </w:r>
      <w:r>
        <w:rPr>
          <w:rFonts w:hint="eastAsia" w:ascii="宋体" w:hAnsi="宋体" w:cs="宋体"/>
          <w:color w:val="auto"/>
          <w:kern w:val="0"/>
          <w:sz w:val="24"/>
          <w:highlight w:val="none"/>
        </w:rPr>
        <w:t>月</w:t>
      </w:r>
      <w:r>
        <w:rPr>
          <w:rFonts w:ascii="宋体" w:cs="宋体"/>
          <w:color w:val="auto"/>
          <w:kern w:val="0"/>
          <w:sz w:val="24"/>
          <w:highlight w:val="none"/>
          <w:u w:val="single"/>
        </w:rPr>
        <w:t>   </w:t>
      </w:r>
      <w:r>
        <w:rPr>
          <w:rFonts w:hint="eastAsia" w:ascii="宋体" w:hAnsi="宋体" w:cs="宋体"/>
          <w:color w:val="auto"/>
          <w:kern w:val="0"/>
          <w:sz w:val="24"/>
          <w:highlight w:val="none"/>
        </w:rPr>
        <w:t>日</w:t>
      </w:r>
    </w:p>
    <w:p w14:paraId="3C4DB2C8">
      <w:pPr>
        <w:shd w:val="clear" w:color="auto" w:fill="auto"/>
        <w:tabs>
          <w:tab w:val="left" w:pos="900"/>
        </w:tabs>
        <w:snapToGrid w:val="0"/>
        <w:spacing w:line="440" w:lineRule="exact"/>
        <w:jc w:val="center"/>
        <w:rPr>
          <w:rStyle w:val="44"/>
          <w:rFonts w:ascii="宋体" w:hAnsi="宋体"/>
          <w:b/>
          <w:color w:val="auto"/>
          <w:sz w:val="32"/>
          <w:szCs w:val="32"/>
          <w:highlight w:val="none"/>
        </w:rPr>
      </w:pPr>
    </w:p>
    <w:p w14:paraId="1B08D7D1">
      <w:pPr>
        <w:pStyle w:val="3"/>
        <w:shd w:val="clear" w:color="auto" w:fill="auto"/>
        <w:bidi w:val="0"/>
        <w:rPr>
          <w:color w:val="auto"/>
          <w:highlight w:val="none"/>
        </w:rPr>
      </w:pPr>
      <w:bookmarkStart w:id="106" w:name="_Toc21307"/>
      <w:r>
        <w:rPr>
          <w:color w:val="auto"/>
          <w:highlight w:val="none"/>
        </w:rPr>
        <w:t>第五章   投标文件格式</w:t>
      </w:r>
      <w:bookmarkEnd w:id="106"/>
    </w:p>
    <w:p w14:paraId="1785B58B">
      <w:pPr>
        <w:shd w:val="clear" w:color="auto" w:fill="auto"/>
        <w:snapToGrid w:val="0"/>
        <w:spacing w:line="500" w:lineRule="exact"/>
        <w:ind w:firstLine="400" w:firstLineChars="200"/>
        <w:rPr>
          <w:rStyle w:val="44"/>
          <w:rFonts w:ascii="宋体" w:hAnsi="宋体"/>
          <w:bCs/>
          <w:color w:val="auto"/>
          <w:sz w:val="20"/>
          <w:szCs w:val="21"/>
          <w:highlight w:val="none"/>
        </w:rPr>
      </w:pPr>
    </w:p>
    <w:tbl>
      <w:tblPr>
        <w:tblStyle w:val="26"/>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4"/>
      </w:tblGrid>
      <w:tr w14:paraId="0910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trPr>
        <w:tc>
          <w:tcPr>
            <w:tcW w:w="9724" w:type="dxa"/>
            <w:tcBorders>
              <w:top w:val="single" w:color="000000" w:sz="4" w:space="0"/>
              <w:left w:val="single" w:color="000000" w:sz="4" w:space="0"/>
              <w:bottom w:val="single" w:color="000000" w:sz="4" w:space="0"/>
              <w:right w:val="single" w:color="000000" w:sz="4" w:space="0"/>
            </w:tcBorders>
            <w:noWrap w:val="0"/>
            <w:vAlign w:val="top"/>
          </w:tcPr>
          <w:p w14:paraId="1F097D1A">
            <w:pPr>
              <w:shd w:val="clear" w:color="auto" w:fill="auto"/>
              <w:snapToGrid w:val="0"/>
              <w:spacing w:before="120"/>
              <w:rPr>
                <w:rStyle w:val="44"/>
                <w:rFonts w:ascii="宋体" w:hAnsi="宋体"/>
                <w:color w:val="auto"/>
                <w:sz w:val="24"/>
                <w:szCs w:val="24"/>
                <w:highlight w:val="none"/>
              </w:rPr>
            </w:pPr>
            <w:r>
              <w:rPr>
                <w:rStyle w:val="44"/>
                <w:rFonts w:ascii="宋体" w:hAnsi="宋体"/>
                <w:color w:val="auto"/>
                <w:sz w:val="24"/>
                <w:szCs w:val="24"/>
                <w:highlight w:val="none"/>
              </w:rPr>
              <w:t>注释：</w:t>
            </w:r>
          </w:p>
          <w:p w14:paraId="74C7FB42">
            <w:pPr>
              <w:shd w:val="clear" w:color="auto" w:fill="auto"/>
              <w:snapToGrid w:val="0"/>
              <w:spacing w:before="120"/>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《投标文件格式》是投标人的部分投标文件格式和签订合同时所需文件的格式。投标人应参照这些格式文件制作投标文件。</w:t>
            </w:r>
          </w:p>
        </w:tc>
      </w:tr>
    </w:tbl>
    <w:p w14:paraId="0FDB470A">
      <w:pPr>
        <w:shd w:val="clear" w:color="auto" w:fill="auto"/>
        <w:tabs>
          <w:tab w:val="left" w:pos="900"/>
        </w:tabs>
        <w:snapToGrid w:val="0"/>
        <w:spacing w:line="900" w:lineRule="exact"/>
        <w:jc w:val="center"/>
        <w:rPr>
          <w:rStyle w:val="44"/>
          <w:rFonts w:ascii="宋体" w:hAnsi="宋体"/>
          <w:color w:val="auto"/>
          <w:sz w:val="72"/>
          <w:szCs w:val="72"/>
          <w:highlight w:val="none"/>
        </w:rPr>
      </w:pPr>
    </w:p>
    <w:p w14:paraId="6B0F6224">
      <w:pPr>
        <w:shd w:val="clear" w:color="auto" w:fill="auto"/>
        <w:tabs>
          <w:tab w:val="left" w:pos="900"/>
        </w:tabs>
        <w:snapToGrid w:val="0"/>
        <w:spacing w:line="900" w:lineRule="exact"/>
        <w:jc w:val="center"/>
        <w:rPr>
          <w:rStyle w:val="44"/>
          <w:rFonts w:ascii="宋体" w:hAnsi="宋体"/>
          <w:color w:val="auto"/>
          <w:sz w:val="72"/>
          <w:szCs w:val="72"/>
          <w:highlight w:val="none"/>
        </w:rPr>
      </w:pPr>
    </w:p>
    <w:p w14:paraId="10527EFB">
      <w:pPr>
        <w:shd w:val="clear" w:color="auto" w:fill="auto"/>
        <w:tabs>
          <w:tab w:val="left" w:pos="900"/>
        </w:tabs>
        <w:snapToGrid w:val="0"/>
        <w:spacing w:line="900" w:lineRule="exact"/>
        <w:jc w:val="center"/>
        <w:rPr>
          <w:rStyle w:val="44"/>
          <w:rFonts w:ascii="宋体" w:hAnsi="宋体"/>
          <w:color w:val="auto"/>
          <w:sz w:val="72"/>
          <w:szCs w:val="72"/>
          <w:highlight w:val="none"/>
        </w:rPr>
      </w:pPr>
    </w:p>
    <w:p w14:paraId="57707461">
      <w:pPr>
        <w:shd w:val="clear" w:color="auto" w:fill="auto"/>
        <w:snapToGrid w:val="0"/>
        <w:spacing w:line="480" w:lineRule="exact"/>
        <w:rPr>
          <w:rStyle w:val="44"/>
          <w:rFonts w:ascii="新宋体" w:hAnsi="新宋体" w:eastAsia="新宋体"/>
          <w:color w:val="auto"/>
          <w:sz w:val="20"/>
          <w:szCs w:val="21"/>
          <w:highlight w:val="none"/>
        </w:rPr>
      </w:pPr>
    </w:p>
    <w:p w14:paraId="1A3360B1">
      <w:pPr>
        <w:shd w:val="clear" w:color="auto" w:fill="auto"/>
        <w:snapToGrid w:val="0"/>
        <w:jc w:val="right"/>
        <w:rPr>
          <w:rStyle w:val="44"/>
          <w:rFonts w:ascii="宋体" w:hAnsi="宋体"/>
          <w:b/>
          <w:color w:val="auto"/>
          <w:sz w:val="30"/>
          <w:szCs w:val="30"/>
          <w:highlight w:val="none"/>
        </w:rPr>
      </w:pPr>
    </w:p>
    <w:p w14:paraId="3EFAFB5D">
      <w:pPr>
        <w:shd w:val="clear" w:color="auto" w:fill="auto"/>
        <w:snapToGrid w:val="0"/>
        <w:jc w:val="right"/>
        <w:rPr>
          <w:rStyle w:val="44"/>
          <w:rFonts w:ascii="宋体" w:hAnsi="宋体"/>
          <w:b/>
          <w:color w:val="auto"/>
          <w:sz w:val="30"/>
          <w:szCs w:val="30"/>
          <w:highlight w:val="none"/>
        </w:rPr>
      </w:pPr>
    </w:p>
    <w:p w14:paraId="46915242">
      <w:pPr>
        <w:shd w:val="clear" w:color="auto" w:fill="auto"/>
        <w:snapToGrid w:val="0"/>
        <w:jc w:val="right"/>
        <w:rPr>
          <w:rStyle w:val="44"/>
          <w:rFonts w:ascii="宋体" w:hAnsi="宋体"/>
          <w:b/>
          <w:color w:val="auto"/>
          <w:sz w:val="30"/>
          <w:szCs w:val="30"/>
          <w:highlight w:val="none"/>
        </w:rPr>
      </w:pPr>
    </w:p>
    <w:p w14:paraId="33DB1D30">
      <w:pPr>
        <w:shd w:val="clear" w:color="auto" w:fill="auto"/>
        <w:snapToGrid w:val="0"/>
        <w:jc w:val="right"/>
        <w:rPr>
          <w:rStyle w:val="44"/>
          <w:rFonts w:ascii="宋体" w:hAnsi="宋体"/>
          <w:b/>
          <w:color w:val="auto"/>
          <w:sz w:val="30"/>
          <w:szCs w:val="30"/>
          <w:highlight w:val="none"/>
        </w:rPr>
      </w:pPr>
    </w:p>
    <w:p w14:paraId="2CBF28C7">
      <w:pPr>
        <w:shd w:val="clear" w:color="auto" w:fill="auto"/>
        <w:snapToGrid w:val="0"/>
        <w:ind w:right="1050"/>
        <w:rPr>
          <w:rStyle w:val="44"/>
          <w:rFonts w:ascii="宋体" w:hAnsi="宋体"/>
          <w:b/>
          <w:color w:val="auto"/>
          <w:sz w:val="30"/>
          <w:szCs w:val="30"/>
          <w:highlight w:val="none"/>
        </w:rPr>
      </w:pPr>
    </w:p>
    <w:p w14:paraId="7B8E8768">
      <w:pPr>
        <w:shd w:val="clear" w:color="auto" w:fill="auto"/>
        <w:snapToGrid w:val="0"/>
        <w:ind w:right="1050"/>
        <w:rPr>
          <w:rStyle w:val="44"/>
          <w:rFonts w:ascii="宋体" w:hAnsi="宋体"/>
          <w:b/>
          <w:color w:val="auto"/>
          <w:sz w:val="30"/>
          <w:szCs w:val="30"/>
          <w:highlight w:val="none"/>
        </w:rPr>
      </w:pPr>
    </w:p>
    <w:p w14:paraId="2BB8E383">
      <w:pPr>
        <w:shd w:val="clear" w:color="auto" w:fill="auto"/>
        <w:snapToGrid w:val="0"/>
        <w:ind w:right="1050"/>
        <w:rPr>
          <w:rStyle w:val="44"/>
          <w:rFonts w:ascii="宋体" w:hAnsi="宋体"/>
          <w:b/>
          <w:color w:val="auto"/>
          <w:sz w:val="30"/>
          <w:szCs w:val="30"/>
          <w:highlight w:val="none"/>
        </w:rPr>
      </w:pPr>
    </w:p>
    <w:p w14:paraId="6B59D546">
      <w:pPr>
        <w:shd w:val="clear" w:color="auto" w:fill="auto"/>
        <w:snapToGrid w:val="0"/>
        <w:ind w:right="750"/>
        <w:jc w:val="right"/>
        <w:rPr>
          <w:rStyle w:val="44"/>
          <w:rFonts w:ascii="宋体" w:hAnsi="宋体"/>
          <w:b/>
          <w:color w:val="auto"/>
          <w:sz w:val="30"/>
          <w:szCs w:val="30"/>
          <w:highlight w:val="none"/>
        </w:rPr>
      </w:pPr>
    </w:p>
    <w:p w14:paraId="20DD2A44">
      <w:pPr>
        <w:shd w:val="clear" w:color="auto" w:fill="auto"/>
        <w:snapToGrid w:val="0"/>
        <w:ind w:right="750"/>
        <w:jc w:val="right"/>
        <w:rPr>
          <w:rStyle w:val="44"/>
          <w:rFonts w:ascii="宋体" w:hAnsi="宋体"/>
          <w:b/>
          <w:color w:val="auto"/>
          <w:sz w:val="30"/>
          <w:szCs w:val="30"/>
          <w:highlight w:val="none"/>
        </w:rPr>
      </w:pPr>
    </w:p>
    <w:p w14:paraId="59111FC2">
      <w:pPr>
        <w:shd w:val="clear" w:color="auto" w:fill="auto"/>
        <w:snapToGrid w:val="0"/>
        <w:ind w:right="750"/>
        <w:jc w:val="right"/>
        <w:rPr>
          <w:rStyle w:val="44"/>
          <w:rFonts w:ascii="宋体" w:hAnsi="宋体"/>
          <w:b/>
          <w:color w:val="auto"/>
          <w:sz w:val="30"/>
          <w:szCs w:val="30"/>
          <w:highlight w:val="none"/>
        </w:rPr>
      </w:pPr>
    </w:p>
    <w:p w14:paraId="68E226C3">
      <w:pPr>
        <w:shd w:val="clear" w:color="auto" w:fill="auto"/>
        <w:snapToGrid w:val="0"/>
        <w:ind w:right="750"/>
        <w:jc w:val="right"/>
        <w:rPr>
          <w:rStyle w:val="44"/>
          <w:rFonts w:ascii="宋体" w:hAnsi="宋体"/>
          <w:b/>
          <w:color w:val="auto"/>
          <w:sz w:val="30"/>
          <w:szCs w:val="30"/>
          <w:highlight w:val="none"/>
        </w:rPr>
      </w:pPr>
    </w:p>
    <w:p w14:paraId="6BDCF727">
      <w:pPr>
        <w:shd w:val="clear" w:color="auto" w:fill="auto"/>
        <w:snapToGrid w:val="0"/>
        <w:ind w:right="750"/>
        <w:jc w:val="right"/>
        <w:rPr>
          <w:rStyle w:val="44"/>
          <w:rFonts w:ascii="宋体" w:hAnsi="宋体"/>
          <w:b/>
          <w:color w:val="auto"/>
          <w:sz w:val="30"/>
          <w:szCs w:val="30"/>
          <w:highlight w:val="none"/>
        </w:rPr>
      </w:pPr>
    </w:p>
    <w:p w14:paraId="0828204A">
      <w:pPr>
        <w:shd w:val="clear" w:color="auto" w:fill="auto"/>
        <w:snapToGrid w:val="0"/>
        <w:ind w:right="750"/>
        <w:jc w:val="right"/>
        <w:rPr>
          <w:rStyle w:val="44"/>
          <w:rFonts w:ascii="宋体" w:hAnsi="宋体"/>
          <w:b/>
          <w:color w:val="auto"/>
          <w:sz w:val="30"/>
          <w:szCs w:val="30"/>
          <w:highlight w:val="none"/>
        </w:rPr>
      </w:pPr>
    </w:p>
    <w:p w14:paraId="05254C58">
      <w:pPr>
        <w:shd w:val="clear" w:color="auto" w:fill="auto"/>
        <w:rPr>
          <w:color w:val="auto"/>
          <w:highlight w:val="none"/>
        </w:rPr>
      </w:pPr>
    </w:p>
    <w:p w14:paraId="13033A71">
      <w:pPr>
        <w:shd w:val="clear" w:color="auto" w:fill="auto"/>
        <w:snapToGrid w:val="0"/>
        <w:jc w:val="right"/>
        <w:rPr>
          <w:rStyle w:val="44"/>
          <w:rFonts w:ascii="宋体" w:hAnsi="宋体"/>
          <w:b/>
          <w:color w:val="auto"/>
          <w:sz w:val="30"/>
          <w:szCs w:val="30"/>
          <w:highlight w:val="none"/>
        </w:rPr>
      </w:pPr>
      <w:r>
        <w:rPr>
          <w:rStyle w:val="44"/>
          <w:rFonts w:ascii="宋体" w:hAnsi="宋体"/>
          <w:b/>
          <w:color w:val="auto"/>
          <w:sz w:val="30"/>
          <w:szCs w:val="30"/>
          <w:highlight w:val="none"/>
        </w:rPr>
        <w:t xml:space="preserve"> </w:t>
      </w:r>
    </w:p>
    <w:p w14:paraId="52EAA056">
      <w:pPr>
        <w:shd w:val="clear" w:color="auto" w:fill="auto"/>
        <w:snapToGrid w:val="0"/>
        <w:jc w:val="right"/>
        <w:rPr>
          <w:rStyle w:val="44"/>
          <w:rFonts w:ascii="宋体" w:hAnsi="宋体"/>
          <w:b/>
          <w:color w:val="auto"/>
          <w:sz w:val="30"/>
          <w:szCs w:val="30"/>
          <w:highlight w:val="none"/>
        </w:rPr>
      </w:pPr>
    </w:p>
    <w:p w14:paraId="66383DA2">
      <w:pPr>
        <w:shd w:val="clear" w:color="auto" w:fill="auto"/>
        <w:snapToGrid w:val="0"/>
        <w:jc w:val="right"/>
        <w:rPr>
          <w:rStyle w:val="44"/>
          <w:rFonts w:ascii="宋体" w:hAnsi="宋体"/>
          <w:b/>
          <w:color w:val="auto"/>
          <w:sz w:val="30"/>
          <w:szCs w:val="30"/>
          <w:highlight w:val="none"/>
        </w:rPr>
      </w:pPr>
    </w:p>
    <w:p w14:paraId="0055DA02">
      <w:pPr>
        <w:shd w:val="clear" w:color="auto" w:fill="auto"/>
        <w:snapToGrid w:val="0"/>
        <w:jc w:val="right"/>
        <w:rPr>
          <w:rStyle w:val="44"/>
          <w:rFonts w:ascii="宋体" w:hAnsi="宋体"/>
          <w:b/>
          <w:color w:val="auto"/>
          <w:sz w:val="30"/>
          <w:szCs w:val="30"/>
          <w:highlight w:val="none"/>
        </w:rPr>
      </w:pPr>
    </w:p>
    <w:p w14:paraId="074CE5C7">
      <w:pPr>
        <w:shd w:val="clear" w:color="auto" w:fill="auto"/>
        <w:snapToGrid w:val="0"/>
        <w:jc w:val="right"/>
        <w:rPr>
          <w:rStyle w:val="44"/>
          <w:rFonts w:ascii="宋体" w:hAnsi="宋体"/>
          <w:b/>
          <w:color w:val="auto"/>
          <w:sz w:val="30"/>
          <w:szCs w:val="30"/>
          <w:highlight w:val="none"/>
        </w:rPr>
      </w:pPr>
    </w:p>
    <w:p w14:paraId="5801A03E">
      <w:pPr>
        <w:shd w:val="clear" w:color="auto" w:fill="auto"/>
        <w:snapToGrid w:val="0"/>
        <w:jc w:val="right"/>
        <w:rPr>
          <w:rStyle w:val="44"/>
          <w:rFonts w:hint="eastAsia" w:ascii="宋体" w:hAnsi="宋体" w:eastAsia="宋体"/>
          <w:b/>
          <w:color w:val="auto"/>
          <w:sz w:val="30"/>
          <w:szCs w:val="30"/>
          <w:highlight w:val="none"/>
          <w:lang w:eastAsia="zh-CN"/>
        </w:rPr>
      </w:pPr>
      <w:r>
        <w:rPr>
          <w:rStyle w:val="44"/>
          <w:rFonts w:hint="eastAsia" w:ascii="宋体" w:hAnsi="宋体"/>
          <w:b/>
          <w:color w:val="auto"/>
          <w:sz w:val="30"/>
          <w:szCs w:val="30"/>
          <w:highlight w:val="none"/>
          <w:lang w:eastAsia="zh-CN"/>
        </w:rPr>
        <w:t>（</w:t>
      </w:r>
      <w:r>
        <w:rPr>
          <w:rStyle w:val="44"/>
          <w:rFonts w:ascii="宋体" w:hAnsi="宋体"/>
          <w:b/>
          <w:color w:val="auto"/>
          <w:sz w:val="30"/>
          <w:szCs w:val="30"/>
          <w:highlight w:val="none"/>
        </w:rPr>
        <w:t>正本/副本</w:t>
      </w:r>
      <w:r>
        <w:rPr>
          <w:rStyle w:val="44"/>
          <w:rFonts w:hint="eastAsia" w:ascii="宋体" w:hAnsi="宋体"/>
          <w:b/>
          <w:color w:val="auto"/>
          <w:sz w:val="30"/>
          <w:szCs w:val="30"/>
          <w:highlight w:val="none"/>
          <w:lang w:eastAsia="zh-CN"/>
        </w:rPr>
        <w:t>）</w:t>
      </w:r>
    </w:p>
    <w:p w14:paraId="49F998E9">
      <w:pPr>
        <w:shd w:val="clear" w:color="auto" w:fill="auto"/>
        <w:snapToGrid w:val="0"/>
        <w:jc w:val="center"/>
        <w:rPr>
          <w:rStyle w:val="44"/>
          <w:rFonts w:ascii="宋体" w:hAnsi="宋体"/>
          <w:b/>
          <w:color w:val="auto"/>
          <w:sz w:val="80"/>
          <w:szCs w:val="72"/>
          <w:highlight w:val="none"/>
        </w:rPr>
      </w:pPr>
    </w:p>
    <w:p w14:paraId="3244FBDF">
      <w:pPr>
        <w:shd w:val="clear" w:color="auto" w:fill="auto"/>
        <w:snapToGrid w:val="0"/>
        <w:jc w:val="center"/>
        <w:rPr>
          <w:rStyle w:val="44"/>
          <w:rFonts w:ascii="宋体" w:hAnsi="宋体"/>
          <w:b/>
          <w:color w:val="auto"/>
          <w:sz w:val="80"/>
          <w:szCs w:val="72"/>
          <w:highlight w:val="none"/>
        </w:rPr>
      </w:pPr>
      <w:r>
        <w:rPr>
          <w:rStyle w:val="44"/>
          <w:rFonts w:ascii="宋体" w:hAnsi="宋体"/>
          <w:b/>
          <w:color w:val="auto"/>
          <w:sz w:val="80"/>
          <w:szCs w:val="72"/>
          <w:highlight w:val="none"/>
        </w:rPr>
        <w:t>投  标  文  件</w:t>
      </w:r>
    </w:p>
    <w:p w14:paraId="37A2346D">
      <w:pPr>
        <w:shd w:val="clear" w:color="auto" w:fill="auto"/>
        <w:snapToGrid w:val="0"/>
        <w:jc w:val="center"/>
        <w:rPr>
          <w:rStyle w:val="44"/>
          <w:rFonts w:ascii="宋体" w:hAnsi="宋体"/>
          <w:color w:val="auto"/>
          <w:sz w:val="20"/>
          <w:szCs w:val="21"/>
          <w:highlight w:val="none"/>
        </w:rPr>
      </w:pPr>
    </w:p>
    <w:p w14:paraId="234BEE3E">
      <w:pPr>
        <w:shd w:val="clear" w:color="auto" w:fill="auto"/>
        <w:snapToGrid w:val="0"/>
        <w:jc w:val="center"/>
        <w:rPr>
          <w:rStyle w:val="44"/>
          <w:rFonts w:ascii="宋体" w:hAnsi="宋体"/>
          <w:color w:val="auto"/>
          <w:sz w:val="20"/>
          <w:szCs w:val="21"/>
          <w:highlight w:val="none"/>
        </w:rPr>
      </w:pPr>
    </w:p>
    <w:p w14:paraId="54935A8B">
      <w:pPr>
        <w:shd w:val="clear" w:color="auto" w:fill="auto"/>
        <w:snapToGrid w:val="0"/>
        <w:jc w:val="center"/>
        <w:rPr>
          <w:rStyle w:val="44"/>
          <w:rFonts w:hint="eastAsia" w:ascii="宋体" w:hAnsi="宋体" w:eastAsia="宋体"/>
          <w:b/>
          <w:color w:val="auto"/>
          <w:sz w:val="30"/>
          <w:szCs w:val="30"/>
          <w:highlight w:val="none"/>
          <w:lang w:eastAsia="zh-CN"/>
        </w:rPr>
      </w:pPr>
      <w:r>
        <w:rPr>
          <w:rStyle w:val="44"/>
          <w:rFonts w:hint="eastAsia" w:ascii="宋体" w:hAnsi="宋体"/>
          <w:b/>
          <w:color w:val="auto"/>
          <w:sz w:val="30"/>
          <w:szCs w:val="30"/>
          <w:highlight w:val="none"/>
          <w:lang w:eastAsia="zh-CN"/>
        </w:rPr>
        <w:t>（</w:t>
      </w:r>
      <w:r>
        <w:rPr>
          <w:rStyle w:val="44"/>
          <w:rFonts w:ascii="宋体" w:hAnsi="宋体"/>
          <w:b/>
          <w:color w:val="auto"/>
          <w:sz w:val="30"/>
          <w:szCs w:val="30"/>
          <w:highlight w:val="none"/>
        </w:rPr>
        <w:t>报价部分</w:t>
      </w:r>
      <w:r>
        <w:rPr>
          <w:rStyle w:val="44"/>
          <w:rFonts w:hint="eastAsia" w:ascii="宋体" w:hAnsi="宋体"/>
          <w:b/>
          <w:color w:val="auto"/>
          <w:sz w:val="30"/>
          <w:szCs w:val="30"/>
          <w:highlight w:val="none"/>
          <w:lang w:eastAsia="zh-CN"/>
        </w:rPr>
        <w:t>）</w:t>
      </w:r>
    </w:p>
    <w:p w14:paraId="2B0F334B">
      <w:pPr>
        <w:shd w:val="clear" w:color="auto" w:fill="auto"/>
        <w:snapToGrid w:val="0"/>
        <w:jc w:val="center"/>
        <w:rPr>
          <w:rStyle w:val="44"/>
          <w:rFonts w:ascii="宋体" w:hAnsi="宋体"/>
          <w:color w:val="auto"/>
          <w:sz w:val="20"/>
          <w:szCs w:val="21"/>
          <w:highlight w:val="none"/>
        </w:rPr>
      </w:pPr>
    </w:p>
    <w:p w14:paraId="062B883D">
      <w:pPr>
        <w:shd w:val="clear" w:color="auto" w:fill="auto"/>
        <w:snapToGrid w:val="0"/>
        <w:jc w:val="center"/>
        <w:rPr>
          <w:rStyle w:val="44"/>
          <w:rFonts w:ascii="宋体" w:hAnsi="宋体"/>
          <w:color w:val="auto"/>
          <w:sz w:val="20"/>
          <w:szCs w:val="21"/>
          <w:highlight w:val="none"/>
        </w:rPr>
      </w:pPr>
    </w:p>
    <w:p w14:paraId="7B266A81">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项目名称：</w:t>
      </w:r>
    </w:p>
    <w:p w14:paraId="17FEACEA">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招标编号：</w:t>
      </w:r>
    </w:p>
    <w:p w14:paraId="53149727">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投标人名称：</w:t>
      </w:r>
    </w:p>
    <w:p w14:paraId="2E3A47DA">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地      址：</w:t>
      </w:r>
    </w:p>
    <w:p w14:paraId="6F53EA80">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日      期：</w:t>
      </w:r>
    </w:p>
    <w:p w14:paraId="3C9471E7">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所投合同包：</w:t>
      </w:r>
    </w:p>
    <w:p w14:paraId="4CA5E069">
      <w:pPr>
        <w:shd w:val="clear" w:color="auto" w:fill="auto"/>
        <w:snapToGrid w:val="0"/>
        <w:jc w:val="center"/>
        <w:rPr>
          <w:rStyle w:val="44"/>
          <w:rFonts w:ascii="宋体" w:hAnsi="宋体"/>
          <w:b/>
          <w:color w:val="auto"/>
          <w:sz w:val="36"/>
          <w:szCs w:val="36"/>
          <w:highlight w:val="none"/>
          <w:u w:val="single" w:color="000000"/>
        </w:rPr>
      </w:pPr>
    </w:p>
    <w:p w14:paraId="531AFE84">
      <w:pPr>
        <w:shd w:val="clear" w:color="auto" w:fill="auto"/>
        <w:snapToGrid w:val="0"/>
        <w:jc w:val="center"/>
        <w:rPr>
          <w:rStyle w:val="44"/>
          <w:rFonts w:ascii="新宋体" w:hAnsi="新宋体" w:eastAsia="新宋体"/>
          <w:b/>
          <w:color w:val="auto"/>
          <w:sz w:val="48"/>
          <w:szCs w:val="48"/>
          <w:highlight w:val="none"/>
        </w:rPr>
      </w:pPr>
    </w:p>
    <w:p w14:paraId="2E81B0C7">
      <w:pPr>
        <w:shd w:val="clear" w:color="auto" w:fill="auto"/>
        <w:snapToGrid w:val="0"/>
        <w:jc w:val="center"/>
        <w:rPr>
          <w:rStyle w:val="44"/>
          <w:rFonts w:ascii="新宋体" w:hAnsi="新宋体" w:eastAsia="新宋体"/>
          <w:b/>
          <w:color w:val="auto"/>
          <w:sz w:val="48"/>
          <w:szCs w:val="48"/>
          <w:highlight w:val="none"/>
        </w:rPr>
      </w:pPr>
    </w:p>
    <w:p w14:paraId="6652A986">
      <w:pPr>
        <w:shd w:val="clear" w:color="auto" w:fill="auto"/>
        <w:snapToGrid w:val="0"/>
        <w:jc w:val="center"/>
        <w:rPr>
          <w:rStyle w:val="44"/>
          <w:rFonts w:ascii="新宋体" w:hAnsi="新宋体" w:eastAsia="新宋体"/>
          <w:b/>
          <w:color w:val="auto"/>
          <w:sz w:val="48"/>
          <w:szCs w:val="48"/>
          <w:highlight w:val="none"/>
        </w:rPr>
      </w:pPr>
    </w:p>
    <w:p w14:paraId="2E088474">
      <w:pPr>
        <w:shd w:val="clear" w:color="auto" w:fill="auto"/>
        <w:snapToGrid w:val="0"/>
        <w:jc w:val="center"/>
        <w:rPr>
          <w:rStyle w:val="44"/>
          <w:rFonts w:ascii="新宋体" w:hAnsi="新宋体" w:eastAsia="新宋体"/>
          <w:b/>
          <w:color w:val="auto"/>
          <w:sz w:val="48"/>
          <w:szCs w:val="48"/>
          <w:highlight w:val="none"/>
        </w:rPr>
      </w:pPr>
    </w:p>
    <w:p w14:paraId="35B73231">
      <w:pPr>
        <w:shd w:val="clear" w:color="auto" w:fill="auto"/>
        <w:snapToGrid w:val="0"/>
        <w:jc w:val="center"/>
        <w:rPr>
          <w:rStyle w:val="44"/>
          <w:rFonts w:ascii="新宋体" w:hAnsi="新宋体" w:eastAsia="新宋体"/>
          <w:b/>
          <w:color w:val="auto"/>
          <w:sz w:val="48"/>
          <w:szCs w:val="48"/>
          <w:highlight w:val="none"/>
        </w:rPr>
      </w:pPr>
    </w:p>
    <w:p w14:paraId="06E20417">
      <w:pPr>
        <w:shd w:val="clear" w:color="auto" w:fill="auto"/>
        <w:snapToGrid w:val="0"/>
        <w:jc w:val="center"/>
        <w:rPr>
          <w:rStyle w:val="44"/>
          <w:rFonts w:ascii="新宋体" w:hAnsi="新宋体" w:eastAsia="新宋体"/>
          <w:b/>
          <w:color w:val="auto"/>
          <w:sz w:val="48"/>
          <w:szCs w:val="48"/>
          <w:highlight w:val="none"/>
        </w:rPr>
      </w:pPr>
      <w:r>
        <w:rPr>
          <w:rStyle w:val="44"/>
          <w:rFonts w:ascii="新宋体" w:hAnsi="新宋体" w:eastAsia="新宋体"/>
          <w:b/>
          <w:color w:val="auto"/>
          <w:sz w:val="48"/>
          <w:szCs w:val="48"/>
          <w:highlight w:val="none"/>
        </w:rPr>
        <w:t>报价部分目录</w:t>
      </w:r>
    </w:p>
    <w:p w14:paraId="3A22AC3E">
      <w:pPr>
        <w:shd w:val="clear" w:color="auto" w:fill="auto"/>
        <w:snapToGrid w:val="0"/>
        <w:jc w:val="center"/>
        <w:rPr>
          <w:rStyle w:val="44"/>
          <w:rFonts w:ascii="新宋体" w:hAnsi="新宋体" w:eastAsia="新宋体"/>
          <w:b/>
          <w:color w:val="auto"/>
          <w:sz w:val="48"/>
          <w:szCs w:val="48"/>
          <w:highlight w:val="none"/>
        </w:rPr>
      </w:pPr>
    </w:p>
    <w:p w14:paraId="4E46F709">
      <w:pPr>
        <w:shd w:val="clear" w:color="auto" w:fill="auto"/>
        <w:snapToGrid w:val="0"/>
        <w:spacing w:line="480" w:lineRule="exact"/>
        <w:rPr>
          <w:rStyle w:val="44"/>
          <w:rFonts w:ascii="新宋体" w:hAnsi="新宋体" w:eastAsia="新宋体"/>
          <w:color w:val="auto"/>
          <w:sz w:val="20"/>
          <w:szCs w:val="21"/>
          <w:highlight w:val="none"/>
        </w:rPr>
      </w:pPr>
    </w:p>
    <w:p w14:paraId="7284EBCF">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55755BB9">
      <w:pPr>
        <w:shd w:val="clear" w:color="auto" w:fill="auto"/>
        <w:snapToGrid w:val="0"/>
        <w:spacing w:line="540" w:lineRule="exact"/>
        <w:rPr>
          <w:rStyle w:val="44"/>
          <w:rFonts w:ascii="新宋体" w:hAnsi="新宋体" w:eastAsia="新宋体"/>
          <w:color w:val="auto"/>
          <w:szCs w:val="21"/>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）投标分项报价表</w:t>
      </w:r>
    </w:p>
    <w:p w14:paraId="6802A794">
      <w:pPr>
        <w:shd w:val="clear" w:color="auto" w:fill="auto"/>
        <w:snapToGrid w:val="0"/>
        <w:jc w:val="center"/>
        <w:rPr>
          <w:rStyle w:val="44"/>
          <w:rFonts w:ascii="新宋体" w:hAnsi="新宋体" w:eastAsia="新宋体"/>
          <w:b/>
          <w:color w:val="auto"/>
          <w:sz w:val="48"/>
          <w:szCs w:val="48"/>
          <w:highlight w:val="none"/>
        </w:rPr>
      </w:pPr>
    </w:p>
    <w:p w14:paraId="37C5B6C9">
      <w:pPr>
        <w:shd w:val="clear" w:color="auto" w:fill="auto"/>
        <w:snapToGrid w:val="0"/>
        <w:jc w:val="center"/>
        <w:rPr>
          <w:rStyle w:val="44"/>
          <w:rFonts w:ascii="新宋体" w:hAnsi="新宋体" w:eastAsia="新宋体"/>
          <w:b/>
          <w:color w:val="auto"/>
          <w:sz w:val="48"/>
          <w:szCs w:val="48"/>
          <w:highlight w:val="none"/>
        </w:rPr>
      </w:pPr>
    </w:p>
    <w:p w14:paraId="5DD425B4">
      <w:pPr>
        <w:shd w:val="clear" w:color="auto" w:fill="auto"/>
        <w:snapToGrid w:val="0"/>
        <w:jc w:val="center"/>
        <w:rPr>
          <w:rStyle w:val="44"/>
          <w:rFonts w:ascii="新宋体" w:hAnsi="新宋体" w:eastAsia="新宋体"/>
          <w:b/>
          <w:color w:val="auto"/>
          <w:sz w:val="48"/>
          <w:szCs w:val="48"/>
          <w:highlight w:val="none"/>
        </w:rPr>
      </w:pPr>
    </w:p>
    <w:p w14:paraId="0B7E6A08">
      <w:pPr>
        <w:shd w:val="clear" w:color="auto" w:fill="auto"/>
        <w:snapToGrid w:val="0"/>
        <w:jc w:val="center"/>
        <w:rPr>
          <w:rStyle w:val="44"/>
          <w:rFonts w:ascii="新宋体" w:hAnsi="新宋体" w:eastAsia="新宋体"/>
          <w:b/>
          <w:color w:val="auto"/>
          <w:sz w:val="48"/>
          <w:szCs w:val="48"/>
          <w:highlight w:val="none"/>
        </w:rPr>
      </w:pPr>
    </w:p>
    <w:p w14:paraId="5D979847">
      <w:pPr>
        <w:shd w:val="clear" w:color="auto" w:fill="auto"/>
        <w:snapToGrid w:val="0"/>
        <w:jc w:val="center"/>
        <w:rPr>
          <w:rStyle w:val="44"/>
          <w:rFonts w:ascii="新宋体" w:hAnsi="新宋体" w:eastAsia="新宋体"/>
          <w:b/>
          <w:color w:val="auto"/>
          <w:sz w:val="48"/>
          <w:szCs w:val="48"/>
          <w:highlight w:val="none"/>
        </w:rPr>
      </w:pPr>
    </w:p>
    <w:p w14:paraId="46D349B0">
      <w:pPr>
        <w:shd w:val="clear" w:color="auto" w:fill="auto"/>
        <w:snapToGrid w:val="0"/>
        <w:jc w:val="center"/>
        <w:rPr>
          <w:rStyle w:val="44"/>
          <w:rFonts w:ascii="新宋体" w:hAnsi="新宋体" w:eastAsia="新宋体"/>
          <w:b/>
          <w:color w:val="auto"/>
          <w:sz w:val="48"/>
          <w:szCs w:val="48"/>
          <w:highlight w:val="none"/>
        </w:rPr>
      </w:pPr>
    </w:p>
    <w:p w14:paraId="1244733D">
      <w:pPr>
        <w:shd w:val="clear" w:color="auto" w:fill="auto"/>
        <w:snapToGrid w:val="0"/>
        <w:jc w:val="center"/>
        <w:rPr>
          <w:rStyle w:val="44"/>
          <w:rFonts w:ascii="新宋体" w:hAnsi="新宋体" w:eastAsia="新宋体"/>
          <w:b/>
          <w:color w:val="auto"/>
          <w:sz w:val="48"/>
          <w:szCs w:val="48"/>
          <w:highlight w:val="none"/>
        </w:rPr>
      </w:pPr>
    </w:p>
    <w:p w14:paraId="0DEE872A">
      <w:pPr>
        <w:shd w:val="clear" w:color="auto" w:fill="auto"/>
        <w:snapToGrid w:val="0"/>
        <w:jc w:val="center"/>
        <w:rPr>
          <w:rStyle w:val="44"/>
          <w:rFonts w:ascii="新宋体" w:hAnsi="新宋体" w:eastAsia="新宋体"/>
          <w:b/>
          <w:color w:val="auto"/>
          <w:sz w:val="48"/>
          <w:szCs w:val="48"/>
          <w:highlight w:val="none"/>
        </w:rPr>
      </w:pPr>
    </w:p>
    <w:p w14:paraId="79E7E938">
      <w:pPr>
        <w:shd w:val="clear" w:color="auto" w:fill="auto"/>
        <w:snapToGrid w:val="0"/>
        <w:jc w:val="center"/>
        <w:rPr>
          <w:rStyle w:val="44"/>
          <w:rFonts w:ascii="新宋体" w:hAnsi="新宋体" w:eastAsia="新宋体"/>
          <w:b/>
          <w:color w:val="auto"/>
          <w:sz w:val="48"/>
          <w:szCs w:val="48"/>
          <w:highlight w:val="none"/>
        </w:rPr>
      </w:pPr>
    </w:p>
    <w:p w14:paraId="52EAB515">
      <w:pPr>
        <w:shd w:val="clear" w:color="auto" w:fill="auto"/>
        <w:snapToGrid w:val="0"/>
        <w:jc w:val="center"/>
        <w:rPr>
          <w:rStyle w:val="44"/>
          <w:rFonts w:ascii="新宋体" w:hAnsi="新宋体" w:eastAsia="新宋体"/>
          <w:b/>
          <w:color w:val="auto"/>
          <w:sz w:val="48"/>
          <w:szCs w:val="48"/>
          <w:highlight w:val="none"/>
        </w:rPr>
      </w:pPr>
    </w:p>
    <w:p w14:paraId="7D05338F">
      <w:pPr>
        <w:shd w:val="clear" w:color="auto" w:fill="auto"/>
        <w:snapToGrid w:val="0"/>
        <w:jc w:val="center"/>
        <w:rPr>
          <w:rStyle w:val="44"/>
          <w:rFonts w:ascii="新宋体" w:hAnsi="新宋体" w:eastAsia="新宋体"/>
          <w:b/>
          <w:color w:val="auto"/>
          <w:sz w:val="48"/>
          <w:szCs w:val="48"/>
          <w:highlight w:val="none"/>
        </w:rPr>
      </w:pPr>
    </w:p>
    <w:p w14:paraId="1CD05343">
      <w:pPr>
        <w:shd w:val="clear" w:color="auto" w:fill="auto"/>
        <w:snapToGrid w:val="0"/>
        <w:jc w:val="center"/>
        <w:rPr>
          <w:rStyle w:val="44"/>
          <w:rFonts w:ascii="新宋体" w:hAnsi="新宋体" w:eastAsia="新宋体"/>
          <w:b/>
          <w:color w:val="auto"/>
          <w:sz w:val="48"/>
          <w:szCs w:val="48"/>
          <w:highlight w:val="none"/>
        </w:rPr>
      </w:pPr>
    </w:p>
    <w:p w14:paraId="677DA745">
      <w:pPr>
        <w:shd w:val="clear" w:color="auto" w:fill="auto"/>
        <w:snapToGrid w:val="0"/>
        <w:rPr>
          <w:rStyle w:val="44"/>
          <w:rFonts w:ascii="宋体" w:hAnsi="宋体"/>
          <w:color w:val="auto"/>
          <w:spacing w:val="-4"/>
          <w:sz w:val="20"/>
          <w:szCs w:val="21"/>
          <w:highlight w:val="none"/>
        </w:rPr>
      </w:pPr>
    </w:p>
    <w:p w14:paraId="7A5E9E4E">
      <w:pPr>
        <w:shd w:val="clear" w:color="auto" w:fill="auto"/>
        <w:snapToGrid w:val="0"/>
        <w:rPr>
          <w:rStyle w:val="44"/>
          <w:rFonts w:ascii="宋体" w:hAnsi="宋体"/>
          <w:color w:val="auto"/>
          <w:spacing w:val="-4"/>
          <w:sz w:val="20"/>
          <w:szCs w:val="21"/>
          <w:highlight w:val="none"/>
        </w:rPr>
      </w:pPr>
    </w:p>
    <w:p w14:paraId="2A14FBE4">
      <w:pPr>
        <w:shd w:val="clear" w:color="auto" w:fill="auto"/>
        <w:snapToGrid w:val="0"/>
        <w:rPr>
          <w:rStyle w:val="44"/>
          <w:rFonts w:ascii="宋体" w:hAnsi="宋体"/>
          <w:color w:val="auto"/>
          <w:spacing w:val="-4"/>
          <w:sz w:val="20"/>
          <w:szCs w:val="21"/>
          <w:highlight w:val="none"/>
        </w:rPr>
      </w:pPr>
    </w:p>
    <w:p w14:paraId="09D25638">
      <w:pPr>
        <w:shd w:val="clear" w:color="auto" w:fill="auto"/>
        <w:snapToGrid w:val="0"/>
        <w:rPr>
          <w:rStyle w:val="44"/>
          <w:rFonts w:ascii="宋体" w:hAnsi="宋体"/>
          <w:color w:val="auto"/>
          <w:spacing w:val="-4"/>
          <w:sz w:val="20"/>
          <w:szCs w:val="21"/>
          <w:highlight w:val="none"/>
        </w:rPr>
      </w:pPr>
    </w:p>
    <w:p w14:paraId="46A34345">
      <w:pPr>
        <w:shd w:val="clear" w:color="auto" w:fill="auto"/>
        <w:snapToGrid w:val="0"/>
        <w:rPr>
          <w:rStyle w:val="44"/>
          <w:rFonts w:ascii="宋体" w:hAnsi="宋体"/>
          <w:color w:val="auto"/>
          <w:spacing w:val="-4"/>
          <w:sz w:val="20"/>
          <w:szCs w:val="21"/>
          <w:highlight w:val="none"/>
        </w:rPr>
      </w:pPr>
    </w:p>
    <w:p w14:paraId="0726CB7D">
      <w:pPr>
        <w:shd w:val="clear" w:color="auto" w:fill="auto"/>
        <w:snapToGrid w:val="0"/>
        <w:rPr>
          <w:rStyle w:val="44"/>
          <w:rFonts w:ascii="宋体" w:hAnsi="宋体"/>
          <w:color w:val="auto"/>
          <w:spacing w:val="-4"/>
          <w:sz w:val="20"/>
          <w:szCs w:val="21"/>
          <w:highlight w:val="none"/>
        </w:rPr>
      </w:pPr>
    </w:p>
    <w:p w14:paraId="0BB9DD45">
      <w:pPr>
        <w:pStyle w:val="2"/>
        <w:rPr>
          <w:rStyle w:val="44"/>
          <w:rFonts w:ascii="宋体" w:hAnsi="宋体"/>
          <w:color w:val="auto"/>
          <w:spacing w:val="-4"/>
          <w:sz w:val="20"/>
          <w:szCs w:val="21"/>
          <w:highlight w:val="none"/>
        </w:rPr>
      </w:pPr>
    </w:p>
    <w:p w14:paraId="1296B1B6">
      <w:pPr>
        <w:rPr>
          <w:rStyle w:val="44"/>
          <w:rFonts w:ascii="宋体" w:hAnsi="宋体"/>
          <w:color w:val="auto"/>
          <w:spacing w:val="-4"/>
          <w:sz w:val="20"/>
          <w:szCs w:val="21"/>
          <w:highlight w:val="none"/>
        </w:rPr>
      </w:pPr>
    </w:p>
    <w:p w14:paraId="43952ED7">
      <w:pPr>
        <w:pStyle w:val="2"/>
        <w:rPr>
          <w:color w:val="auto"/>
          <w:highlight w:val="none"/>
        </w:rPr>
      </w:pPr>
    </w:p>
    <w:p w14:paraId="5B9C2B47">
      <w:pPr>
        <w:shd w:val="clear" w:color="auto" w:fill="auto"/>
        <w:snapToGrid w:val="0"/>
        <w:rPr>
          <w:rStyle w:val="44"/>
          <w:rFonts w:ascii="宋体" w:hAnsi="宋体"/>
          <w:color w:val="auto"/>
          <w:spacing w:val="-4"/>
          <w:szCs w:val="21"/>
          <w:highlight w:val="none"/>
        </w:rPr>
      </w:pPr>
    </w:p>
    <w:p w14:paraId="362E3285">
      <w:pPr>
        <w:shd w:val="clear" w:color="auto" w:fill="auto"/>
        <w:snapToGrid w:val="0"/>
        <w:rPr>
          <w:rStyle w:val="44"/>
          <w:rFonts w:ascii="宋体" w:hAnsi="宋体"/>
          <w:color w:val="auto"/>
          <w:spacing w:val="-4"/>
          <w:szCs w:val="21"/>
          <w:highlight w:val="none"/>
        </w:rPr>
      </w:pPr>
    </w:p>
    <w:p w14:paraId="187592C6">
      <w:pPr>
        <w:shd w:val="clear" w:color="auto" w:fill="auto"/>
        <w:snapToGrid w:val="0"/>
        <w:rPr>
          <w:rStyle w:val="44"/>
          <w:rFonts w:ascii="宋体" w:hAnsi="宋体"/>
          <w:color w:val="auto"/>
          <w:spacing w:val="-4"/>
          <w:szCs w:val="21"/>
          <w:highlight w:val="none"/>
        </w:rPr>
      </w:pPr>
    </w:p>
    <w:p w14:paraId="255FF083">
      <w:pPr>
        <w:shd w:val="clear" w:color="auto" w:fill="auto"/>
        <w:bidi w:val="0"/>
        <w:jc w:val="center"/>
        <w:rPr>
          <w:rFonts w:hint="eastAsia" w:eastAsia="宋体"/>
          <w:b/>
          <w:bCs/>
          <w:color w:val="auto"/>
          <w:sz w:val="30"/>
          <w:szCs w:val="30"/>
          <w:highlight w:val="none"/>
          <w:lang w:eastAsia="zh-CN"/>
        </w:rPr>
      </w:pPr>
      <w:bookmarkStart w:id="107" w:name="_Toc1579708"/>
      <w:bookmarkStart w:id="108" w:name="_Toc492363060"/>
      <w:bookmarkStart w:id="109" w:name="_Toc127352908"/>
      <w:bookmarkStart w:id="110" w:name="_Toc366651504"/>
      <w:bookmarkStart w:id="111" w:name="_Toc327427577"/>
      <w:r>
        <w:rPr>
          <w:rFonts w:hint="eastAsia"/>
          <w:b/>
          <w:bCs/>
          <w:color w:val="auto"/>
          <w:sz w:val="30"/>
          <w:szCs w:val="30"/>
          <w:highlight w:val="none"/>
          <w:lang w:val="en-US" w:eastAsia="zh-CN"/>
        </w:rPr>
        <w:t>1</w:t>
      </w:r>
      <w:r>
        <w:rPr>
          <w:rFonts w:hint="eastAsia"/>
          <w:b/>
          <w:bCs/>
          <w:color w:val="auto"/>
          <w:sz w:val="30"/>
          <w:szCs w:val="30"/>
          <w:highlight w:val="none"/>
        </w:rPr>
        <w:t>、开标一览表</w:t>
      </w:r>
      <w:bookmarkEnd w:id="107"/>
      <w:bookmarkEnd w:id="108"/>
      <w:bookmarkEnd w:id="109"/>
      <w:bookmarkEnd w:id="110"/>
      <w:bookmarkEnd w:id="111"/>
    </w:p>
    <w:p w14:paraId="43CE0652">
      <w:pPr>
        <w:shd w:val="clear" w:color="auto" w:fill="auto"/>
        <w:spacing w:line="500" w:lineRule="exact"/>
        <w:rPr>
          <w:rFonts w:ascii="宋体" w:hAnsi="宋体" w:eastAsia="宋体"/>
          <w:color w:val="auto"/>
          <w:sz w:val="24"/>
          <w:highlight w:val="none"/>
        </w:rPr>
      </w:pPr>
    </w:p>
    <w:p w14:paraId="3D72B8F7">
      <w:pPr>
        <w:widowControl/>
        <w:spacing w:before="150"/>
        <w:rPr>
          <w:rFonts w:ascii="宋体" w:cs="宋体"/>
          <w:color w:val="auto"/>
          <w:kern w:val="0"/>
          <w:sz w:val="24"/>
          <w:highlight w:val="none"/>
        </w:rPr>
      </w:pPr>
      <w:r>
        <w:rPr>
          <w:rFonts w:hint="eastAsia" w:ascii="宋体" w:hAnsi="宋体" w:cs="宋体"/>
          <w:color w:val="auto"/>
          <w:kern w:val="0"/>
          <w:sz w:val="24"/>
          <w:highlight w:val="none"/>
        </w:rPr>
        <w:t>招标编号：</w:t>
      </w:r>
      <w:r>
        <w:rPr>
          <w:rFonts w:ascii="宋体" w:cs="宋体"/>
          <w:color w:val="auto"/>
          <w:kern w:val="0"/>
          <w:sz w:val="24"/>
          <w:highlight w:val="none"/>
          <w:u w:val="single"/>
        </w:rPr>
        <w:t>                   </w:t>
      </w:r>
    </w:p>
    <w:p w14:paraId="6E53E328">
      <w:pPr>
        <w:widowControl/>
        <w:spacing w:before="150"/>
        <w:jc w:val="right"/>
        <w:rPr>
          <w:rFonts w:ascii="宋体" w:cs="宋体"/>
          <w:color w:val="auto"/>
          <w:kern w:val="0"/>
          <w:sz w:val="24"/>
          <w:highlight w:val="none"/>
        </w:rPr>
      </w:pPr>
      <w:r>
        <w:rPr>
          <w:rFonts w:hint="eastAsia" w:ascii="宋体" w:hAnsi="宋体" w:cs="宋体"/>
          <w:color w:val="auto"/>
          <w:kern w:val="0"/>
          <w:sz w:val="24"/>
          <w:highlight w:val="none"/>
        </w:rPr>
        <w:t>货币及单位：人民币元</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20"/>
        <w:gridCol w:w="1228"/>
        <w:gridCol w:w="2784"/>
        <w:gridCol w:w="1046"/>
        <w:gridCol w:w="944"/>
      </w:tblGrid>
      <w:tr w14:paraId="33D4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16" w:type="dxa"/>
            <w:noWrap w:val="0"/>
            <w:vAlign w:val="center"/>
          </w:tcPr>
          <w:p w14:paraId="56B8DFAA">
            <w:pPr>
              <w:spacing w:line="380" w:lineRule="exact"/>
              <w:jc w:val="center"/>
              <w:rPr>
                <w:rFonts w:ascii="宋体" w:hAnsi="宋体"/>
                <w:color w:val="auto"/>
                <w:sz w:val="24"/>
                <w:highlight w:val="none"/>
              </w:rPr>
            </w:pPr>
            <w:r>
              <w:rPr>
                <w:rFonts w:hint="eastAsia" w:ascii="宋体" w:hAnsi="宋体"/>
                <w:color w:val="auto"/>
                <w:sz w:val="24"/>
                <w:highlight w:val="none"/>
              </w:rPr>
              <w:t>合同包</w:t>
            </w:r>
          </w:p>
        </w:tc>
        <w:tc>
          <w:tcPr>
            <w:tcW w:w="2920" w:type="dxa"/>
            <w:noWrap w:val="0"/>
            <w:vAlign w:val="center"/>
          </w:tcPr>
          <w:p w14:paraId="4AC6445A">
            <w:pPr>
              <w:spacing w:line="38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228" w:type="dxa"/>
            <w:noWrap w:val="0"/>
            <w:vAlign w:val="center"/>
          </w:tcPr>
          <w:p w14:paraId="27E77121">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784" w:type="dxa"/>
            <w:noWrap w:val="0"/>
            <w:vAlign w:val="center"/>
          </w:tcPr>
          <w:p w14:paraId="657429A5">
            <w:pPr>
              <w:spacing w:line="38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投标报价合计</w:t>
            </w:r>
          </w:p>
          <w:p w14:paraId="25DD1C2D">
            <w:pPr>
              <w:spacing w:line="380" w:lineRule="exact"/>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含税价</w:t>
            </w:r>
            <w:r>
              <w:rPr>
                <w:rFonts w:hint="eastAsia" w:ascii="宋体" w:hAnsi="宋体" w:cs="宋体"/>
                <w:color w:val="auto"/>
                <w:sz w:val="24"/>
                <w:highlight w:val="none"/>
              </w:rPr>
              <w:t>)</w:t>
            </w:r>
          </w:p>
        </w:tc>
        <w:tc>
          <w:tcPr>
            <w:tcW w:w="1046" w:type="dxa"/>
            <w:noWrap w:val="0"/>
            <w:vAlign w:val="center"/>
          </w:tcPr>
          <w:p w14:paraId="1DD6623B">
            <w:pPr>
              <w:spacing w:line="380" w:lineRule="exact"/>
              <w:jc w:val="center"/>
              <w:rPr>
                <w:rFonts w:ascii="宋体" w:hAnsi="宋体"/>
                <w:color w:val="auto"/>
                <w:sz w:val="24"/>
                <w:highlight w:val="none"/>
              </w:rPr>
            </w:pPr>
            <w:r>
              <w:rPr>
                <w:rFonts w:hint="eastAsia" w:ascii="宋体" w:hAnsi="宋体"/>
                <w:color w:val="auto"/>
                <w:sz w:val="24"/>
                <w:highlight w:val="none"/>
              </w:rPr>
              <w:t>投标保证金</w:t>
            </w:r>
          </w:p>
        </w:tc>
        <w:tc>
          <w:tcPr>
            <w:tcW w:w="944" w:type="dxa"/>
            <w:noWrap w:val="0"/>
            <w:vAlign w:val="center"/>
          </w:tcPr>
          <w:p w14:paraId="1EBE4691">
            <w:pPr>
              <w:spacing w:line="380" w:lineRule="exact"/>
              <w:jc w:val="center"/>
              <w:rPr>
                <w:rFonts w:ascii="宋体" w:hAnsi="宋体"/>
                <w:color w:val="auto"/>
                <w:sz w:val="24"/>
                <w:highlight w:val="none"/>
              </w:rPr>
            </w:pPr>
            <w:r>
              <w:rPr>
                <w:rFonts w:hint="eastAsia" w:ascii="宋体" w:hAnsi="宋体"/>
                <w:color w:val="auto"/>
                <w:sz w:val="24"/>
                <w:highlight w:val="none"/>
              </w:rPr>
              <w:t>备注</w:t>
            </w:r>
          </w:p>
        </w:tc>
      </w:tr>
      <w:tr w14:paraId="4A92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jc w:val="center"/>
        </w:trPr>
        <w:tc>
          <w:tcPr>
            <w:tcW w:w="716" w:type="dxa"/>
            <w:noWrap w:val="0"/>
            <w:vAlign w:val="center"/>
          </w:tcPr>
          <w:p w14:paraId="657BD0F0">
            <w:pPr>
              <w:spacing w:line="380" w:lineRule="exact"/>
              <w:jc w:val="center"/>
              <w:rPr>
                <w:rFonts w:ascii="宋体" w:hAnsi="宋体"/>
                <w:color w:val="auto"/>
                <w:sz w:val="24"/>
                <w:highlight w:val="none"/>
              </w:rPr>
            </w:pPr>
            <w:r>
              <w:rPr>
                <w:rFonts w:hint="eastAsia" w:ascii="宋体" w:hAnsi="宋体"/>
                <w:color w:val="auto"/>
                <w:sz w:val="24"/>
                <w:highlight w:val="none"/>
              </w:rPr>
              <w:t>1</w:t>
            </w:r>
          </w:p>
        </w:tc>
        <w:tc>
          <w:tcPr>
            <w:tcW w:w="2920" w:type="dxa"/>
            <w:noWrap w:val="0"/>
            <w:vAlign w:val="center"/>
          </w:tcPr>
          <w:p w14:paraId="3CC7DA8F">
            <w:pPr>
              <w:spacing w:line="380" w:lineRule="exact"/>
              <w:jc w:val="center"/>
              <w:rPr>
                <w:rFonts w:ascii="宋体" w:hAnsi="宋体"/>
                <w:color w:val="auto"/>
                <w:sz w:val="24"/>
                <w:highlight w:val="none"/>
              </w:rPr>
            </w:pPr>
          </w:p>
        </w:tc>
        <w:tc>
          <w:tcPr>
            <w:tcW w:w="1228" w:type="dxa"/>
            <w:noWrap w:val="0"/>
            <w:vAlign w:val="center"/>
          </w:tcPr>
          <w:p w14:paraId="0C493C1A">
            <w:pPr>
              <w:spacing w:line="380" w:lineRule="exact"/>
              <w:jc w:val="center"/>
              <w:rPr>
                <w:rFonts w:ascii="宋体" w:hAnsi="宋体"/>
                <w:color w:val="auto"/>
                <w:sz w:val="24"/>
                <w:highlight w:val="none"/>
              </w:rPr>
            </w:pPr>
          </w:p>
        </w:tc>
        <w:tc>
          <w:tcPr>
            <w:tcW w:w="2784" w:type="dxa"/>
            <w:noWrap w:val="0"/>
            <w:vAlign w:val="center"/>
          </w:tcPr>
          <w:p w14:paraId="4934E477">
            <w:pPr>
              <w:spacing w:line="380" w:lineRule="exact"/>
              <w:rPr>
                <w:rFonts w:ascii="宋体" w:hAnsi="宋体"/>
                <w:color w:val="auto"/>
                <w:sz w:val="24"/>
                <w:highlight w:val="none"/>
              </w:rPr>
            </w:pPr>
          </w:p>
        </w:tc>
        <w:tc>
          <w:tcPr>
            <w:tcW w:w="1046" w:type="dxa"/>
            <w:noWrap w:val="0"/>
            <w:vAlign w:val="center"/>
          </w:tcPr>
          <w:p w14:paraId="2653C373">
            <w:pPr>
              <w:spacing w:line="380" w:lineRule="exact"/>
              <w:rPr>
                <w:rFonts w:ascii="宋体" w:hAnsi="宋体"/>
                <w:color w:val="auto"/>
                <w:sz w:val="24"/>
                <w:highlight w:val="none"/>
              </w:rPr>
            </w:pPr>
          </w:p>
        </w:tc>
        <w:tc>
          <w:tcPr>
            <w:tcW w:w="944" w:type="dxa"/>
            <w:tcBorders>
              <w:bottom w:val="single" w:color="auto" w:sz="4" w:space="0"/>
            </w:tcBorders>
            <w:noWrap w:val="0"/>
            <w:vAlign w:val="center"/>
          </w:tcPr>
          <w:p w14:paraId="2BECFCA8">
            <w:pPr>
              <w:spacing w:line="380" w:lineRule="exact"/>
              <w:rPr>
                <w:rFonts w:ascii="宋体" w:hAnsi="宋体"/>
                <w:color w:val="auto"/>
                <w:sz w:val="24"/>
                <w:highlight w:val="none"/>
              </w:rPr>
            </w:pPr>
          </w:p>
        </w:tc>
      </w:tr>
      <w:tr w14:paraId="450D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864" w:type="dxa"/>
            <w:gridSpan w:val="3"/>
            <w:noWrap w:val="0"/>
            <w:vAlign w:val="center"/>
          </w:tcPr>
          <w:p w14:paraId="30933F46">
            <w:pPr>
              <w:spacing w:line="380" w:lineRule="exact"/>
              <w:jc w:val="left"/>
              <w:rPr>
                <w:rFonts w:ascii="宋体" w:hAnsi="宋体"/>
                <w:color w:val="auto"/>
                <w:sz w:val="24"/>
                <w:highlight w:val="none"/>
              </w:rPr>
            </w:pPr>
            <w:r>
              <w:rPr>
                <w:rFonts w:hint="eastAsia" w:ascii="宋体" w:hAnsi="宋体" w:cs="宋体"/>
                <w:color w:val="auto"/>
                <w:sz w:val="24"/>
                <w:highlight w:val="none"/>
                <w:lang w:val="en-US" w:eastAsia="zh-CN"/>
              </w:rPr>
              <w:t>投标报价</w:t>
            </w:r>
            <w:r>
              <w:rPr>
                <w:rFonts w:hint="eastAsia" w:ascii="宋体" w:hAnsi="宋体" w:cs="宋体"/>
                <w:b/>
                <w:bCs/>
                <w:color w:val="auto"/>
                <w:sz w:val="24"/>
                <w:highlight w:val="none"/>
                <w:lang w:val="en-US" w:eastAsia="zh-CN"/>
              </w:rPr>
              <w:t>合计</w:t>
            </w:r>
            <w:r>
              <w:rPr>
                <w:rFonts w:hint="eastAsia" w:ascii="宋体" w:hAnsi="宋体"/>
                <w:color w:val="auto"/>
                <w:sz w:val="24"/>
                <w:highlight w:val="none"/>
              </w:rPr>
              <w:t>(大写)</w:t>
            </w:r>
          </w:p>
        </w:tc>
        <w:tc>
          <w:tcPr>
            <w:tcW w:w="4774" w:type="dxa"/>
            <w:gridSpan w:val="3"/>
            <w:noWrap w:val="0"/>
            <w:vAlign w:val="center"/>
          </w:tcPr>
          <w:p w14:paraId="0F8FBB2C">
            <w:pPr>
              <w:spacing w:line="380" w:lineRule="exact"/>
              <w:rPr>
                <w:rFonts w:ascii="宋体" w:hAnsi="宋体"/>
                <w:color w:val="auto"/>
                <w:sz w:val="24"/>
                <w:highlight w:val="none"/>
              </w:rPr>
            </w:pPr>
          </w:p>
        </w:tc>
      </w:tr>
    </w:tbl>
    <w:p w14:paraId="4BC406FB">
      <w:pPr>
        <w:widowControl/>
        <w:rPr>
          <w:rFonts w:ascii="宋体" w:cs="宋体"/>
          <w:color w:val="auto"/>
          <w:kern w:val="0"/>
          <w:sz w:val="24"/>
          <w:highlight w:val="none"/>
        </w:rPr>
      </w:pPr>
    </w:p>
    <w:p w14:paraId="482FDE95">
      <w:pPr>
        <w:widowControl/>
        <w:spacing w:before="150"/>
        <w:rPr>
          <w:rFonts w:ascii="宋体" w:cs="宋体"/>
          <w:color w:val="auto"/>
          <w:kern w:val="0"/>
          <w:szCs w:val="21"/>
          <w:highlight w:val="none"/>
        </w:rPr>
      </w:pPr>
      <w:r>
        <w:rPr>
          <w:rFonts w:ascii="宋体" w:cs="宋体"/>
          <w:color w:val="auto"/>
          <w:kern w:val="0"/>
          <w:szCs w:val="21"/>
          <w:highlight w:val="none"/>
        </w:rPr>
        <w:t> </w:t>
      </w:r>
    </w:p>
    <w:p w14:paraId="16066C02">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1DC95BFF">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投标人代表（签字）：</w:t>
      </w:r>
    </w:p>
    <w:p w14:paraId="562A00A4">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日              期：</w:t>
      </w:r>
    </w:p>
    <w:p w14:paraId="46BED7DD">
      <w:pPr>
        <w:shd w:val="clear" w:color="auto" w:fill="auto"/>
        <w:snapToGrid w:val="0"/>
        <w:rPr>
          <w:rStyle w:val="44"/>
          <w:rFonts w:ascii="宋体" w:hAnsi="宋体"/>
          <w:color w:val="auto"/>
          <w:sz w:val="20"/>
          <w:szCs w:val="21"/>
          <w:highlight w:val="none"/>
          <w:u w:val="dotted" w:color="000000"/>
        </w:rPr>
      </w:pPr>
    </w:p>
    <w:p w14:paraId="08FFD109">
      <w:pPr>
        <w:shd w:val="clear" w:color="auto" w:fill="auto"/>
        <w:snapToGrid w:val="0"/>
        <w:rPr>
          <w:rStyle w:val="44"/>
          <w:rFonts w:ascii="宋体" w:hAnsi="宋体"/>
          <w:color w:val="auto"/>
          <w:sz w:val="20"/>
          <w:szCs w:val="21"/>
          <w:highlight w:val="none"/>
          <w:u w:val="dotted" w:color="000000"/>
        </w:rPr>
      </w:pPr>
    </w:p>
    <w:p w14:paraId="68318692">
      <w:pPr>
        <w:shd w:val="clear" w:color="auto" w:fill="auto"/>
        <w:ind w:right="1"/>
        <w:jc w:val="right"/>
        <w:rPr>
          <w:rFonts w:ascii="宋体" w:hAnsi="宋体" w:eastAsia="宋体"/>
          <w:color w:val="auto"/>
          <w:sz w:val="24"/>
          <w:highlight w:val="none"/>
        </w:rPr>
      </w:pPr>
    </w:p>
    <w:p w14:paraId="263264D3">
      <w:pPr>
        <w:numPr>
          <w:ilvl w:val="0"/>
          <w:numId w:val="2"/>
        </w:numPr>
        <w:shd w:val="clear" w:color="auto" w:fill="auto"/>
        <w:bidi w:val="0"/>
        <w:jc w:val="center"/>
        <w:rPr>
          <w:rFonts w:hint="eastAsia" w:ascii="Times New Roman" w:hAnsi="Times New Roman" w:eastAsia="宋体" w:cs="Times New Roman"/>
          <w:b/>
          <w:bCs/>
          <w:color w:val="auto"/>
          <w:sz w:val="30"/>
          <w:szCs w:val="30"/>
          <w:highlight w:val="none"/>
          <w:lang w:val="en-US" w:eastAsia="zh-CN"/>
        </w:rPr>
      </w:pPr>
      <w:r>
        <w:rPr>
          <w:rFonts w:ascii="宋体" w:hAnsi="宋体" w:eastAsia="宋体"/>
          <w:color w:val="auto"/>
          <w:sz w:val="24"/>
          <w:highlight w:val="none"/>
        </w:rPr>
        <w:br w:type="page"/>
      </w:r>
      <w:r>
        <w:rPr>
          <w:rFonts w:hint="eastAsia" w:ascii="Times New Roman" w:hAnsi="Times New Roman" w:eastAsia="宋体" w:cs="Times New Roman"/>
          <w:b/>
          <w:bCs/>
          <w:color w:val="auto"/>
          <w:sz w:val="30"/>
          <w:szCs w:val="30"/>
          <w:highlight w:val="none"/>
          <w:lang w:val="en-US" w:eastAsia="zh-CN"/>
        </w:rPr>
        <w:t>投标分项报价表</w:t>
      </w:r>
    </w:p>
    <w:p w14:paraId="42EFCEFF">
      <w:pPr>
        <w:pStyle w:val="7"/>
        <w:numPr>
          <w:ilvl w:val="0"/>
          <w:numId w:val="0"/>
        </w:numPr>
        <w:jc w:val="both"/>
        <w:textAlignment w:val="baseline"/>
        <w:rPr>
          <w:rFonts w:hint="eastAsia"/>
          <w:color w:val="auto"/>
          <w:highlight w:val="none"/>
          <w:lang w:val="en-US" w:eastAsia="zh-CN"/>
        </w:rPr>
      </w:pPr>
    </w:p>
    <w:p w14:paraId="04A8408A">
      <w:pPr>
        <w:widowControl/>
        <w:spacing w:before="150"/>
        <w:rPr>
          <w:rFonts w:ascii="宋体" w:cs="宋体"/>
          <w:color w:val="auto"/>
          <w:kern w:val="0"/>
          <w:sz w:val="24"/>
          <w:highlight w:val="none"/>
        </w:rPr>
      </w:pPr>
      <w:r>
        <w:rPr>
          <w:rFonts w:hint="eastAsia" w:ascii="宋体" w:hAnsi="宋体" w:cs="宋体"/>
          <w:color w:val="auto"/>
          <w:kern w:val="0"/>
          <w:sz w:val="24"/>
          <w:highlight w:val="none"/>
        </w:rPr>
        <w:t>招标编号：</w:t>
      </w:r>
      <w:r>
        <w:rPr>
          <w:rFonts w:ascii="宋体" w:cs="宋体"/>
          <w:color w:val="auto"/>
          <w:kern w:val="0"/>
          <w:sz w:val="24"/>
          <w:highlight w:val="none"/>
          <w:u w:val="single"/>
        </w:rPr>
        <w:t>                   </w:t>
      </w:r>
    </w:p>
    <w:p w14:paraId="52C456B9">
      <w:pPr>
        <w:bidi w:val="0"/>
        <w:jc w:val="right"/>
        <w:rPr>
          <w:rFonts w:hint="eastAsia"/>
          <w:color w:val="auto"/>
          <w:highlight w:val="none"/>
          <w:lang w:val="en-US" w:eastAsia="zh-CN"/>
        </w:rPr>
      </w:pPr>
      <w:r>
        <w:rPr>
          <w:rFonts w:hint="eastAsia" w:ascii="宋体" w:hAnsi="宋体" w:cs="宋体"/>
          <w:color w:val="auto"/>
          <w:kern w:val="0"/>
          <w:sz w:val="24"/>
          <w:highlight w:val="none"/>
        </w:rPr>
        <w:t>货币及单位：人民币元</w:t>
      </w:r>
    </w:p>
    <w:p w14:paraId="5CFB3E82">
      <w:pPr>
        <w:bidi w:val="0"/>
        <w:rPr>
          <w:rFonts w:hint="eastAsia"/>
          <w:color w:val="auto"/>
          <w:highlight w:val="none"/>
          <w:lang w:val="en-US" w:eastAsia="zh-CN"/>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487"/>
        <w:gridCol w:w="1763"/>
        <w:gridCol w:w="3763"/>
        <w:gridCol w:w="982"/>
        <w:gridCol w:w="1322"/>
      </w:tblGrid>
      <w:tr w14:paraId="5BBD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B6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8F4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EB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r>
              <w:rPr>
                <w:rFonts w:hint="eastAsia" w:ascii="宋体" w:hAnsi="宋体" w:cs="宋体"/>
                <w:i w:val="0"/>
                <w:iCs w:val="0"/>
                <w:color w:val="auto"/>
                <w:kern w:val="0"/>
                <w:sz w:val="24"/>
                <w:szCs w:val="24"/>
                <w:highlight w:val="none"/>
                <w:u w:val="none"/>
                <w:lang w:val="en-US" w:eastAsia="zh-CN" w:bidi="ar"/>
              </w:rPr>
              <w:t>（品牌、型号）</w:t>
            </w: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D0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1F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7F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备注</w:t>
            </w:r>
          </w:p>
        </w:tc>
      </w:tr>
      <w:tr w14:paraId="1C55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14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61F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67B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F60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202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86B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16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588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40B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86C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66C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529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539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D7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F7F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752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DCF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203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F50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B93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4F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FCD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28A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0AC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1B6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665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7BD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51D47E6F">
      <w:pPr>
        <w:bidi w:val="0"/>
        <w:rPr>
          <w:rFonts w:hint="eastAsia"/>
          <w:color w:val="auto"/>
          <w:highlight w:val="none"/>
          <w:lang w:val="en-US" w:eastAsia="zh-CN"/>
        </w:rPr>
      </w:pPr>
    </w:p>
    <w:p w14:paraId="2313C8D6">
      <w:pPr>
        <w:bidi w:val="0"/>
        <w:rPr>
          <w:rFonts w:hint="eastAsia"/>
          <w:color w:val="auto"/>
          <w:highlight w:val="none"/>
          <w:lang w:val="en-US" w:eastAsia="zh-CN"/>
        </w:rPr>
      </w:pPr>
    </w:p>
    <w:p w14:paraId="33CC79A4">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20BDBD8C">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投标人代表（签字）：</w:t>
      </w:r>
    </w:p>
    <w:p w14:paraId="542C3814">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日              期：</w:t>
      </w:r>
    </w:p>
    <w:p w14:paraId="7178EE1E">
      <w:pPr>
        <w:pStyle w:val="7"/>
        <w:rPr>
          <w:color w:val="auto"/>
          <w:highlight w:val="none"/>
        </w:rPr>
      </w:pPr>
    </w:p>
    <w:p w14:paraId="443DAAE6">
      <w:pPr>
        <w:shd w:val="clear" w:color="auto" w:fill="auto"/>
        <w:snapToGrid w:val="0"/>
        <w:rPr>
          <w:rStyle w:val="44"/>
          <w:rFonts w:ascii="宋体" w:hAnsi="宋体"/>
          <w:color w:val="auto"/>
          <w:sz w:val="20"/>
          <w:szCs w:val="21"/>
          <w:highlight w:val="none"/>
          <w:u w:val="dotted" w:color="000000"/>
        </w:rPr>
      </w:pPr>
    </w:p>
    <w:p w14:paraId="61759353">
      <w:pPr>
        <w:bidi w:val="0"/>
        <w:rPr>
          <w:rFonts w:hint="eastAsia"/>
          <w:color w:val="auto"/>
          <w:highlight w:val="none"/>
          <w:lang w:val="en-US" w:eastAsia="zh-CN"/>
        </w:rPr>
      </w:pPr>
    </w:p>
    <w:p w14:paraId="3524392F">
      <w:pPr>
        <w:bidi w:val="0"/>
        <w:rPr>
          <w:rFonts w:hint="eastAsia"/>
          <w:color w:val="auto"/>
          <w:highlight w:val="none"/>
          <w:lang w:val="en-US" w:eastAsia="zh-CN"/>
        </w:rPr>
      </w:pPr>
    </w:p>
    <w:p w14:paraId="4DFAA65C">
      <w:pPr>
        <w:bidi w:val="0"/>
        <w:rPr>
          <w:rFonts w:hint="eastAsia"/>
          <w:color w:val="auto"/>
          <w:highlight w:val="none"/>
          <w:lang w:val="en-US" w:eastAsia="zh-CN"/>
        </w:rPr>
      </w:pPr>
    </w:p>
    <w:p w14:paraId="7A8DABD6">
      <w:pPr>
        <w:bidi w:val="0"/>
        <w:rPr>
          <w:rFonts w:hint="eastAsia"/>
          <w:color w:val="auto"/>
          <w:highlight w:val="none"/>
          <w:lang w:val="en-US" w:eastAsia="zh-CN"/>
        </w:rPr>
      </w:pPr>
    </w:p>
    <w:p w14:paraId="0FCCB484">
      <w:pPr>
        <w:bidi w:val="0"/>
        <w:rPr>
          <w:rFonts w:hint="eastAsia"/>
          <w:color w:val="auto"/>
          <w:highlight w:val="none"/>
          <w:lang w:val="en-US" w:eastAsia="zh-CN"/>
        </w:rPr>
      </w:pPr>
    </w:p>
    <w:p w14:paraId="65F4557F">
      <w:pPr>
        <w:bidi w:val="0"/>
        <w:rPr>
          <w:rFonts w:hint="eastAsia"/>
          <w:color w:val="auto"/>
          <w:highlight w:val="none"/>
          <w:lang w:val="en-US" w:eastAsia="zh-CN"/>
        </w:rPr>
      </w:pPr>
    </w:p>
    <w:p w14:paraId="3F244634">
      <w:pPr>
        <w:bidi w:val="0"/>
        <w:rPr>
          <w:rFonts w:hint="eastAsia"/>
          <w:color w:val="auto"/>
          <w:highlight w:val="none"/>
          <w:lang w:val="en-US" w:eastAsia="zh-CN"/>
        </w:rPr>
      </w:pPr>
    </w:p>
    <w:p w14:paraId="1EE4CB2B">
      <w:pPr>
        <w:bidi w:val="0"/>
        <w:rPr>
          <w:rFonts w:hint="eastAsia"/>
          <w:color w:val="auto"/>
          <w:highlight w:val="none"/>
          <w:lang w:val="en-US" w:eastAsia="zh-CN"/>
        </w:rPr>
      </w:pPr>
    </w:p>
    <w:p w14:paraId="3E934820">
      <w:pPr>
        <w:bidi w:val="0"/>
        <w:rPr>
          <w:rFonts w:hint="eastAsia"/>
          <w:color w:val="auto"/>
          <w:highlight w:val="none"/>
          <w:lang w:val="en-US" w:eastAsia="zh-CN"/>
        </w:rPr>
      </w:pPr>
    </w:p>
    <w:p w14:paraId="3BD1E1B0">
      <w:pPr>
        <w:bidi w:val="0"/>
        <w:rPr>
          <w:rFonts w:hint="eastAsia"/>
          <w:color w:val="auto"/>
          <w:highlight w:val="none"/>
          <w:lang w:val="en-US" w:eastAsia="zh-CN"/>
        </w:rPr>
      </w:pPr>
    </w:p>
    <w:p w14:paraId="5A707B99">
      <w:pPr>
        <w:bidi w:val="0"/>
        <w:rPr>
          <w:rFonts w:hint="eastAsia"/>
          <w:color w:val="auto"/>
          <w:highlight w:val="none"/>
          <w:lang w:val="en-US" w:eastAsia="zh-CN"/>
        </w:rPr>
      </w:pPr>
    </w:p>
    <w:p w14:paraId="35F125F9">
      <w:pPr>
        <w:bidi w:val="0"/>
        <w:rPr>
          <w:rFonts w:hint="eastAsia"/>
          <w:color w:val="auto"/>
          <w:highlight w:val="none"/>
          <w:lang w:val="en-US" w:eastAsia="zh-CN"/>
        </w:rPr>
      </w:pPr>
    </w:p>
    <w:p w14:paraId="0C49369A">
      <w:pPr>
        <w:bidi w:val="0"/>
        <w:rPr>
          <w:rFonts w:hint="eastAsia"/>
          <w:color w:val="auto"/>
          <w:highlight w:val="none"/>
          <w:lang w:val="en-US" w:eastAsia="zh-CN"/>
        </w:rPr>
      </w:pPr>
    </w:p>
    <w:p w14:paraId="1DEDE02F">
      <w:pPr>
        <w:bidi w:val="0"/>
        <w:rPr>
          <w:rFonts w:hint="eastAsia"/>
          <w:color w:val="auto"/>
          <w:highlight w:val="none"/>
          <w:lang w:val="en-US" w:eastAsia="zh-CN"/>
        </w:rPr>
      </w:pPr>
    </w:p>
    <w:p w14:paraId="637CB772">
      <w:pPr>
        <w:bidi w:val="0"/>
        <w:rPr>
          <w:rFonts w:hint="eastAsia"/>
          <w:color w:val="auto"/>
          <w:highlight w:val="none"/>
          <w:lang w:val="en-US" w:eastAsia="zh-CN"/>
        </w:rPr>
      </w:pPr>
    </w:p>
    <w:p w14:paraId="53D68166">
      <w:pPr>
        <w:bidi w:val="0"/>
        <w:rPr>
          <w:rFonts w:hint="eastAsia"/>
          <w:color w:val="auto"/>
          <w:highlight w:val="none"/>
          <w:lang w:val="en-US" w:eastAsia="zh-CN"/>
        </w:rPr>
      </w:pPr>
    </w:p>
    <w:p w14:paraId="10DBF5C9">
      <w:pPr>
        <w:pStyle w:val="2"/>
        <w:rPr>
          <w:rFonts w:hint="eastAsia"/>
          <w:color w:val="auto"/>
          <w:highlight w:val="none"/>
          <w:lang w:val="en-US" w:eastAsia="zh-CN"/>
        </w:rPr>
      </w:pPr>
    </w:p>
    <w:p w14:paraId="5FAAB1C0">
      <w:pPr>
        <w:bidi w:val="0"/>
        <w:rPr>
          <w:rFonts w:hint="eastAsia"/>
          <w:color w:val="auto"/>
          <w:highlight w:val="none"/>
          <w:lang w:val="en-US" w:eastAsia="zh-CN"/>
        </w:rPr>
      </w:pPr>
    </w:p>
    <w:p w14:paraId="120BC3D8">
      <w:pPr>
        <w:bidi w:val="0"/>
        <w:rPr>
          <w:rFonts w:hint="eastAsia"/>
          <w:color w:val="auto"/>
          <w:highlight w:val="none"/>
          <w:lang w:val="en-US" w:eastAsia="zh-CN"/>
        </w:rPr>
      </w:pPr>
    </w:p>
    <w:p w14:paraId="30465A48">
      <w:pPr>
        <w:shd w:val="clear" w:color="auto" w:fill="auto"/>
        <w:snapToGrid w:val="0"/>
        <w:jc w:val="right"/>
        <w:rPr>
          <w:rStyle w:val="44"/>
          <w:rFonts w:hint="eastAsia" w:ascii="宋体" w:hAnsi="宋体" w:eastAsia="宋体"/>
          <w:b/>
          <w:color w:val="auto"/>
          <w:sz w:val="30"/>
          <w:szCs w:val="30"/>
          <w:highlight w:val="none"/>
          <w:lang w:eastAsia="zh-CN"/>
        </w:rPr>
      </w:pPr>
      <w:r>
        <w:rPr>
          <w:rStyle w:val="44"/>
          <w:rFonts w:hint="eastAsia" w:ascii="宋体" w:hAnsi="宋体"/>
          <w:b/>
          <w:color w:val="auto"/>
          <w:sz w:val="30"/>
          <w:szCs w:val="30"/>
          <w:highlight w:val="none"/>
          <w:lang w:eastAsia="zh-CN"/>
        </w:rPr>
        <w:t>（</w:t>
      </w:r>
      <w:r>
        <w:rPr>
          <w:rStyle w:val="44"/>
          <w:rFonts w:ascii="宋体" w:hAnsi="宋体"/>
          <w:b/>
          <w:color w:val="auto"/>
          <w:sz w:val="30"/>
          <w:szCs w:val="30"/>
          <w:highlight w:val="none"/>
        </w:rPr>
        <w:t>正本/副本</w:t>
      </w:r>
      <w:r>
        <w:rPr>
          <w:rStyle w:val="44"/>
          <w:rFonts w:hint="eastAsia" w:ascii="宋体" w:hAnsi="宋体"/>
          <w:b/>
          <w:color w:val="auto"/>
          <w:sz w:val="30"/>
          <w:szCs w:val="30"/>
          <w:highlight w:val="none"/>
          <w:lang w:eastAsia="zh-CN"/>
        </w:rPr>
        <w:t>）</w:t>
      </w:r>
    </w:p>
    <w:p w14:paraId="62D3144A">
      <w:pPr>
        <w:shd w:val="clear" w:color="auto" w:fill="auto"/>
        <w:snapToGrid w:val="0"/>
        <w:rPr>
          <w:rStyle w:val="44"/>
          <w:rFonts w:ascii="宋体" w:hAnsi="宋体"/>
          <w:b/>
          <w:color w:val="auto"/>
          <w:sz w:val="80"/>
          <w:szCs w:val="72"/>
          <w:highlight w:val="none"/>
        </w:rPr>
      </w:pPr>
    </w:p>
    <w:p w14:paraId="25702DA8">
      <w:pPr>
        <w:shd w:val="clear" w:color="auto" w:fill="auto"/>
        <w:snapToGrid w:val="0"/>
        <w:jc w:val="center"/>
        <w:rPr>
          <w:rStyle w:val="44"/>
          <w:rFonts w:ascii="宋体" w:hAnsi="宋体"/>
          <w:b/>
          <w:color w:val="auto"/>
          <w:sz w:val="80"/>
          <w:szCs w:val="72"/>
          <w:highlight w:val="none"/>
        </w:rPr>
      </w:pPr>
      <w:r>
        <w:rPr>
          <w:rStyle w:val="44"/>
          <w:rFonts w:ascii="宋体" w:hAnsi="宋体"/>
          <w:b/>
          <w:color w:val="auto"/>
          <w:sz w:val="80"/>
          <w:szCs w:val="72"/>
          <w:highlight w:val="none"/>
        </w:rPr>
        <w:t>投  标  文  件</w:t>
      </w:r>
    </w:p>
    <w:p w14:paraId="0E976699">
      <w:pPr>
        <w:shd w:val="clear" w:color="auto" w:fill="auto"/>
        <w:snapToGrid w:val="0"/>
        <w:jc w:val="center"/>
        <w:rPr>
          <w:rStyle w:val="44"/>
          <w:rFonts w:ascii="宋体" w:hAnsi="宋体"/>
          <w:color w:val="auto"/>
          <w:sz w:val="28"/>
          <w:szCs w:val="28"/>
          <w:highlight w:val="none"/>
        </w:rPr>
      </w:pPr>
    </w:p>
    <w:p w14:paraId="1306CBD5">
      <w:pPr>
        <w:shd w:val="clear" w:color="auto" w:fill="auto"/>
        <w:snapToGrid w:val="0"/>
        <w:jc w:val="center"/>
        <w:rPr>
          <w:rStyle w:val="44"/>
          <w:rFonts w:ascii="宋体" w:hAnsi="宋体"/>
          <w:color w:val="auto"/>
          <w:sz w:val="28"/>
          <w:szCs w:val="28"/>
          <w:highlight w:val="none"/>
        </w:rPr>
      </w:pPr>
    </w:p>
    <w:p w14:paraId="3D4863D1">
      <w:pPr>
        <w:shd w:val="clear" w:color="auto" w:fill="auto"/>
        <w:snapToGrid w:val="0"/>
        <w:jc w:val="center"/>
        <w:rPr>
          <w:rStyle w:val="44"/>
          <w:rFonts w:hint="eastAsia" w:ascii="宋体" w:hAnsi="宋体" w:eastAsia="宋体"/>
          <w:b/>
          <w:color w:val="auto"/>
          <w:sz w:val="28"/>
          <w:szCs w:val="28"/>
          <w:highlight w:val="none"/>
          <w:lang w:eastAsia="zh-CN"/>
        </w:rPr>
      </w:pPr>
      <w:r>
        <w:rPr>
          <w:rStyle w:val="44"/>
          <w:rFonts w:hint="eastAsia" w:ascii="宋体" w:hAnsi="宋体"/>
          <w:b/>
          <w:color w:val="auto"/>
          <w:sz w:val="28"/>
          <w:szCs w:val="28"/>
          <w:highlight w:val="none"/>
          <w:lang w:eastAsia="zh-CN"/>
        </w:rPr>
        <w:t>（</w:t>
      </w:r>
      <w:r>
        <w:rPr>
          <w:rStyle w:val="44"/>
          <w:rFonts w:ascii="宋体" w:hAnsi="宋体"/>
          <w:b/>
          <w:color w:val="auto"/>
          <w:sz w:val="28"/>
          <w:szCs w:val="28"/>
          <w:highlight w:val="none"/>
        </w:rPr>
        <w:t>技术商务部分</w:t>
      </w:r>
      <w:r>
        <w:rPr>
          <w:rStyle w:val="44"/>
          <w:rFonts w:hint="eastAsia" w:ascii="宋体" w:hAnsi="宋体"/>
          <w:b/>
          <w:color w:val="auto"/>
          <w:sz w:val="28"/>
          <w:szCs w:val="28"/>
          <w:highlight w:val="none"/>
          <w:lang w:eastAsia="zh-CN"/>
        </w:rPr>
        <w:t>）</w:t>
      </w:r>
    </w:p>
    <w:p w14:paraId="033C0341">
      <w:pPr>
        <w:shd w:val="clear" w:color="auto" w:fill="auto"/>
        <w:snapToGrid w:val="0"/>
        <w:jc w:val="center"/>
        <w:rPr>
          <w:rStyle w:val="44"/>
          <w:rFonts w:ascii="宋体" w:hAnsi="宋体"/>
          <w:color w:val="auto"/>
          <w:sz w:val="20"/>
          <w:szCs w:val="21"/>
          <w:highlight w:val="none"/>
        </w:rPr>
      </w:pPr>
    </w:p>
    <w:p w14:paraId="5C6EA9A3">
      <w:pPr>
        <w:shd w:val="clear" w:color="auto" w:fill="auto"/>
        <w:snapToGrid w:val="0"/>
        <w:jc w:val="center"/>
        <w:rPr>
          <w:rStyle w:val="44"/>
          <w:rFonts w:ascii="宋体" w:hAnsi="宋体"/>
          <w:color w:val="auto"/>
          <w:sz w:val="20"/>
          <w:szCs w:val="21"/>
          <w:highlight w:val="none"/>
        </w:rPr>
      </w:pPr>
    </w:p>
    <w:p w14:paraId="2A9EC460">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项目名称：</w:t>
      </w:r>
    </w:p>
    <w:p w14:paraId="5DE3762C">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招标编号：</w:t>
      </w:r>
    </w:p>
    <w:p w14:paraId="7685F2F2">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投标人名称：</w:t>
      </w:r>
    </w:p>
    <w:p w14:paraId="57D9B79D">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地      址：</w:t>
      </w:r>
    </w:p>
    <w:p w14:paraId="0F42A8A6">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日      期：</w:t>
      </w:r>
    </w:p>
    <w:p w14:paraId="6C9D135C">
      <w:pPr>
        <w:shd w:val="clear" w:color="auto" w:fill="auto"/>
        <w:snapToGrid w:val="0"/>
        <w:spacing w:line="1040" w:lineRule="exact"/>
        <w:ind w:firstLine="1265" w:firstLineChars="350"/>
        <w:jc w:val="left"/>
        <w:rPr>
          <w:rStyle w:val="44"/>
          <w:rFonts w:ascii="宋体" w:hAnsi="宋体"/>
          <w:b/>
          <w:color w:val="auto"/>
          <w:sz w:val="36"/>
          <w:szCs w:val="36"/>
          <w:highlight w:val="none"/>
          <w:u w:val="single" w:color="000000"/>
        </w:rPr>
      </w:pPr>
      <w:r>
        <w:rPr>
          <w:rStyle w:val="44"/>
          <w:rFonts w:ascii="宋体" w:hAnsi="宋体"/>
          <w:b/>
          <w:color w:val="auto"/>
          <w:sz w:val="36"/>
          <w:szCs w:val="36"/>
          <w:highlight w:val="none"/>
        </w:rPr>
        <w:t>所投合同包：</w:t>
      </w:r>
    </w:p>
    <w:p w14:paraId="719068E6">
      <w:pPr>
        <w:shd w:val="clear" w:color="auto" w:fill="auto"/>
        <w:snapToGrid w:val="0"/>
        <w:rPr>
          <w:rStyle w:val="44"/>
          <w:rFonts w:ascii="新宋体" w:hAnsi="新宋体" w:eastAsia="新宋体"/>
          <w:b/>
          <w:color w:val="auto"/>
          <w:sz w:val="48"/>
          <w:szCs w:val="48"/>
          <w:highlight w:val="none"/>
        </w:rPr>
      </w:pPr>
    </w:p>
    <w:p w14:paraId="1A636922">
      <w:pPr>
        <w:shd w:val="clear" w:color="auto" w:fill="auto"/>
        <w:snapToGrid w:val="0"/>
        <w:jc w:val="left"/>
        <w:rPr>
          <w:rStyle w:val="44"/>
          <w:rFonts w:ascii="宋体" w:hAnsi="宋体"/>
          <w:b/>
          <w:color w:val="auto"/>
          <w:sz w:val="36"/>
          <w:szCs w:val="36"/>
          <w:highlight w:val="none"/>
          <w:u w:val="single" w:color="000000"/>
        </w:rPr>
      </w:pPr>
    </w:p>
    <w:p w14:paraId="36954AE3">
      <w:pPr>
        <w:shd w:val="clear" w:color="auto" w:fill="auto"/>
        <w:snapToGrid w:val="0"/>
        <w:jc w:val="center"/>
        <w:rPr>
          <w:rStyle w:val="44"/>
          <w:rFonts w:hint="eastAsia" w:ascii="新宋体" w:hAnsi="新宋体" w:eastAsia="新宋体"/>
          <w:b/>
          <w:color w:val="auto"/>
          <w:sz w:val="48"/>
          <w:szCs w:val="48"/>
          <w:highlight w:val="none"/>
          <w:lang w:eastAsia="zh-CN"/>
        </w:rPr>
      </w:pPr>
    </w:p>
    <w:p w14:paraId="2874CAFF">
      <w:pPr>
        <w:pStyle w:val="2"/>
        <w:rPr>
          <w:color w:val="auto"/>
          <w:highlight w:val="none"/>
        </w:rPr>
      </w:pPr>
    </w:p>
    <w:p w14:paraId="791FD29E">
      <w:pPr>
        <w:shd w:val="clear" w:color="auto" w:fill="auto"/>
        <w:snapToGrid w:val="0"/>
        <w:jc w:val="center"/>
        <w:rPr>
          <w:rStyle w:val="44"/>
          <w:rFonts w:ascii="新宋体" w:hAnsi="新宋体" w:eastAsia="新宋体"/>
          <w:b/>
          <w:color w:val="auto"/>
          <w:sz w:val="48"/>
          <w:szCs w:val="48"/>
          <w:highlight w:val="none"/>
        </w:rPr>
      </w:pPr>
    </w:p>
    <w:p w14:paraId="780CD009">
      <w:pPr>
        <w:shd w:val="clear" w:color="auto" w:fill="auto"/>
        <w:snapToGrid w:val="0"/>
        <w:jc w:val="center"/>
        <w:rPr>
          <w:rStyle w:val="44"/>
          <w:rFonts w:ascii="新宋体" w:hAnsi="新宋体" w:eastAsia="新宋体"/>
          <w:b/>
          <w:color w:val="auto"/>
          <w:sz w:val="48"/>
          <w:szCs w:val="48"/>
          <w:highlight w:val="none"/>
        </w:rPr>
      </w:pPr>
    </w:p>
    <w:p w14:paraId="6F83094E">
      <w:pPr>
        <w:shd w:val="clear" w:color="auto" w:fill="auto"/>
        <w:snapToGrid w:val="0"/>
        <w:jc w:val="center"/>
        <w:rPr>
          <w:rStyle w:val="44"/>
          <w:rFonts w:ascii="新宋体" w:hAnsi="新宋体" w:eastAsia="新宋体"/>
          <w:b/>
          <w:color w:val="auto"/>
          <w:sz w:val="48"/>
          <w:szCs w:val="48"/>
          <w:highlight w:val="none"/>
        </w:rPr>
      </w:pPr>
      <w:r>
        <w:rPr>
          <w:rStyle w:val="44"/>
          <w:rFonts w:ascii="新宋体" w:hAnsi="新宋体" w:eastAsia="新宋体"/>
          <w:b/>
          <w:color w:val="auto"/>
          <w:sz w:val="48"/>
          <w:szCs w:val="48"/>
          <w:highlight w:val="none"/>
        </w:rPr>
        <w:t>技术商务部分目录</w:t>
      </w:r>
    </w:p>
    <w:p w14:paraId="369347C8">
      <w:pPr>
        <w:shd w:val="clear" w:color="auto" w:fill="auto"/>
        <w:snapToGrid w:val="0"/>
        <w:rPr>
          <w:rStyle w:val="44"/>
          <w:rFonts w:ascii="新宋体" w:hAnsi="新宋体" w:eastAsia="新宋体"/>
          <w:color w:val="auto"/>
          <w:sz w:val="20"/>
          <w:szCs w:val="21"/>
          <w:highlight w:val="none"/>
        </w:rPr>
      </w:pPr>
    </w:p>
    <w:p w14:paraId="3212CDD8">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1. 投 标 书</w:t>
      </w:r>
    </w:p>
    <w:p w14:paraId="01127EEA">
      <w:pPr>
        <w:shd w:val="clear" w:color="auto" w:fill="auto"/>
        <w:snapToGrid w:val="0"/>
        <w:spacing w:line="620" w:lineRule="exact"/>
        <w:rPr>
          <w:rStyle w:val="44"/>
          <w:rFonts w:hint="eastAsia" w:ascii="宋体" w:hAnsi="宋体" w:eastAsia="宋体"/>
          <w:color w:val="auto"/>
          <w:sz w:val="24"/>
          <w:szCs w:val="24"/>
          <w:highlight w:val="none"/>
          <w:lang w:eastAsia="zh-CN"/>
        </w:rPr>
      </w:pPr>
      <w:r>
        <w:rPr>
          <w:rStyle w:val="44"/>
          <w:rFonts w:ascii="宋体" w:hAnsi="宋体"/>
          <w:color w:val="auto"/>
          <w:sz w:val="24"/>
          <w:szCs w:val="24"/>
          <w:highlight w:val="none"/>
        </w:rPr>
        <w:t>2. 技术与商务评分部分应答表</w:t>
      </w:r>
      <w:r>
        <w:rPr>
          <w:rStyle w:val="44"/>
          <w:rFonts w:hint="eastAsia" w:ascii="宋体" w:hAnsi="宋体"/>
          <w:color w:val="auto"/>
          <w:sz w:val="24"/>
          <w:szCs w:val="24"/>
          <w:highlight w:val="none"/>
          <w:lang w:eastAsia="zh-CN"/>
        </w:rPr>
        <w:t>（若有）</w:t>
      </w:r>
    </w:p>
    <w:p w14:paraId="22081488">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3.技术和商务偏离表</w:t>
      </w:r>
    </w:p>
    <w:p w14:paraId="3F651773">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4. 投标人的资格证明文件</w:t>
      </w:r>
    </w:p>
    <w:p w14:paraId="42DED610">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关于资格的声明函</w:t>
      </w:r>
    </w:p>
    <w:p w14:paraId="0E5BE421">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投标人的资格声明</w:t>
      </w:r>
    </w:p>
    <w:p w14:paraId="5D6D58ED">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法人代表授权书</w:t>
      </w:r>
    </w:p>
    <w:p w14:paraId="58437FEC">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法人营业执照、税务登记证</w:t>
      </w:r>
    </w:p>
    <w:p w14:paraId="7B71EA2A">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其他资格证明文件</w:t>
      </w:r>
    </w:p>
    <w:p w14:paraId="7354A42D">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声明函</w:t>
      </w:r>
    </w:p>
    <w:p w14:paraId="42C4BC71">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5. 招标服务费承诺书</w:t>
      </w:r>
    </w:p>
    <w:p w14:paraId="0ED46516">
      <w:pPr>
        <w:shd w:val="clear" w:color="auto" w:fill="auto"/>
        <w:snapToGrid w:val="0"/>
        <w:spacing w:line="620" w:lineRule="exact"/>
        <w:rPr>
          <w:rStyle w:val="44"/>
          <w:rFonts w:ascii="宋体" w:hAnsi="宋体"/>
          <w:color w:val="auto"/>
          <w:sz w:val="24"/>
          <w:szCs w:val="24"/>
          <w:highlight w:val="none"/>
        </w:rPr>
      </w:pPr>
      <w:r>
        <w:rPr>
          <w:rStyle w:val="44"/>
          <w:rFonts w:ascii="宋体" w:hAnsi="宋体"/>
          <w:color w:val="auto"/>
          <w:sz w:val="24"/>
          <w:szCs w:val="24"/>
          <w:highlight w:val="none"/>
        </w:rPr>
        <w:t>6. 投标保证金</w:t>
      </w:r>
    </w:p>
    <w:p w14:paraId="74DD1CAC">
      <w:pPr>
        <w:shd w:val="clear" w:color="auto" w:fill="auto"/>
        <w:snapToGrid w:val="0"/>
        <w:spacing w:line="620" w:lineRule="exact"/>
        <w:rPr>
          <w:rStyle w:val="44"/>
          <w:rFonts w:ascii="宋体" w:hAnsi="宋体"/>
          <w:color w:val="auto"/>
          <w:sz w:val="20"/>
          <w:szCs w:val="21"/>
          <w:highlight w:val="none"/>
        </w:rPr>
      </w:pPr>
      <w:r>
        <w:rPr>
          <w:rStyle w:val="44"/>
          <w:rFonts w:ascii="宋体" w:hAnsi="宋体"/>
          <w:color w:val="auto"/>
          <w:sz w:val="24"/>
          <w:szCs w:val="24"/>
          <w:highlight w:val="none"/>
        </w:rPr>
        <w:t>7、投标人应交的其他材料</w:t>
      </w:r>
    </w:p>
    <w:p w14:paraId="23C49239">
      <w:pPr>
        <w:shd w:val="clear" w:color="auto" w:fill="auto"/>
        <w:snapToGrid w:val="0"/>
        <w:rPr>
          <w:rStyle w:val="44"/>
          <w:rFonts w:ascii="宋体" w:hAnsi="宋体"/>
          <w:color w:val="auto"/>
          <w:sz w:val="20"/>
          <w:szCs w:val="21"/>
          <w:highlight w:val="none"/>
        </w:rPr>
      </w:pPr>
    </w:p>
    <w:p w14:paraId="569C5B17">
      <w:pPr>
        <w:shd w:val="clear" w:color="auto" w:fill="auto"/>
        <w:snapToGrid w:val="0"/>
        <w:rPr>
          <w:rStyle w:val="44"/>
          <w:rFonts w:ascii="宋体" w:hAnsi="宋体"/>
          <w:color w:val="auto"/>
          <w:sz w:val="20"/>
          <w:szCs w:val="21"/>
          <w:highlight w:val="none"/>
        </w:rPr>
      </w:pPr>
    </w:p>
    <w:p w14:paraId="780DCAEF">
      <w:pPr>
        <w:shd w:val="clear" w:color="auto" w:fill="auto"/>
        <w:snapToGrid w:val="0"/>
        <w:rPr>
          <w:rStyle w:val="44"/>
          <w:rFonts w:ascii="宋体" w:hAnsi="宋体"/>
          <w:color w:val="auto"/>
          <w:sz w:val="20"/>
          <w:szCs w:val="21"/>
          <w:highlight w:val="none"/>
        </w:rPr>
      </w:pPr>
    </w:p>
    <w:p w14:paraId="4C22A77B">
      <w:pPr>
        <w:shd w:val="clear" w:color="auto" w:fill="auto"/>
        <w:snapToGrid w:val="0"/>
        <w:jc w:val="center"/>
        <w:rPr>
          <w:rStyle w:val="44"/>
          <w:rFonts w:ascii="宋体" w:hAnsi="宋体"/>
          <w:color w:val="auto"/>
          <w:sz w:val="20"/>
          <w:szCs w:val="21"/>
          <w:highlight w:val="none"/>
        </w:rPr>
      </w:pPr>
      <w:r>
        <w:rPr>
          <w:rStyle w:val="44"/>
          <w:rFonts w:hint="eastAsia" w:ascii="新宋体" w:hAnsi="新宋体" w:eastAsia="新宋体"/>
          <w:b/>
          <w:color w:val="auto"/>
          <w:sz w:val="44"/>
          <w:szCs w:val="44"/>
          <w:highlight w:val="none"/>
          <w:u w:val="single"/>
          <w:lang w:eastAsia="zh-CN"/>
        </w:rPr>
        <w:t>（技术商务部分建议双面打印、复印）</w:t>
      </w:r>
    </w:p>
    <w:p w14:paraId="5E1FCCE2">
      <w:pPr>
        <w:shd w:val="clear" w:color="auto" w:fill="auto"/>
        <w:snapToGrid w:val="0"/>
        <w:rPr>
          <w:rStyle w:val="44"/>
          <w:rFonts w:ascii="宋体" w:hAnsi="宋体"/>
          <w:color w:val="auto"/>
          <w:sz w:val="20"/>
          <w:szCs w:val="21"/>
          <w:highlight w:val="none"/>
        </w:rPr>
      </w:pPr>
    </w:p>
    <w:p w14:paraId="6E562877">
      <w:pPr>
        <w:shd w:val="clear" w:color="auto" w:fill="auto"/>
        <w:snapToGrid w:val="0"/>
        <w:rPr>
          <w:rStyle w:val="44"/>
          <w:rFonts w:ascii="宋体" w:hAnsi="宋体"/>
          <w:color w:val="auto"/>
          <w:sz w:val="20"/>
          <w:szCs w:val="21"/>
          <w:highlight w:val="none"/>
        </w:rPr>
      </w:pPr>
    </w:p>
    <w:p w14:paraId="26EF86B2">
      <w:pPr>
        <w:shd w:val="clear" w:color="auto" w:fill="auto"/>
        <w:snapToGrid w:val="0"/>
        <w:rPr>
          <w:rStyle w:val="44"/>
          <w:rFonts w:ascii="宋体" w:hAnsi="宋体"/>
          <w:color w:val="auto"/>
          <w:sz w:val="20"/>
          <w:szCs w:val="21"/>
          <w:highlight w:val="none"/>
        </w:rPr>
      </w:pPr>
    </w:p>
    <w:p w14:paraId="45ABEC3E">
      <w:pPr>
        <w:shd w:val="clear" w:color="auto" w:fill="auto"/>
        <w:snapToGrid w:val="0"/>
        <w:rPr>
          <w:rStyle w:val="44"/>
          <w:rFonts w:ascii="宋体" w:hAnsi="宋体"/>
          <w:color w:val="auto"/>
          <w:sz w:val="20"/>
          <w:szCs w:val="21"/>
          <w:highlight w:val="none"/>
        </w:rPr>
      </w:pPr>
    </w:p>
    <w:p w14:paraId="2ADF222F">
      <w:pPr>
        <w:shd w:val="clear" w:color="auto" w:fill="auto"/>
        <w:snapToGrid w:val="0"/>
        <w:rPr>
          <w:rStyle w:val="44"/>
          <w:rFonts w:ascii="宋体" w:hAnsi="宋体"/>
          <w:color w:val="auto"/>
          <w:sz w:val="20"/>
          <w:szCs w:val="21"/>
          <w:highlight w:val="none"/>
        </w:rPr>
      </w:pPr>
    </w:p>
    <w:p w14:paraId="04EE2451">
      <w:pPr>
        <w:shd w:val="clear" w:color="auto" w:fill="auto"/>
        <w:snapToGrid w:val="0"/>
        <w:rPr>
          <w:rStyle w:val="44"/>
          <w:rFonts w:ascii="宋体" w:hAnsi="宋体"/>
          <w:color w:val="auto"/>
          <w:sz w:val="20"/>
          <w:szCs w:val="21"/>
          <w:highlight w:val="none"/>
        </w:rPr>
      </w:pPr>
    </w:p>
    <w:p w14:paraId="0B3905C7">
      <w:pPr>
        <w:shd w:val="clear" w:color="auto" w:fill="auto"/>
        <w:rPr>
          <w:color w:val="auto"/>
          <w:highlight w:val="none"/>
        </w:rPr>
      </w:pPr>
    </w:p>
    <w:p w14:paraId="21272DBD">
      <w:pPr>
        <w:shd w:val="clear" w:color="auto" w:fill="auto"/>
        <w:snapToGrid w:val="0"/>
        <w:rPr>
          <w:rStyle w:val="44"/>
          <w:rFonts w:ascii="宋体" w:hAnsi="宋体"/>
          <w:color w:val="auto"/>
          <w:szCs w:val="21"/>
          <w:highlight w:val="none"/>
        </w:rPr>
      </w:pPr>
    </w:p>
    <w:p w14:paraId="0F8AC197">
      <w:pPr>
        <w:shd w:val="clear" w:color="auto" w:fill="auto"/>
        <w:snapToGrid w:val="0"/>
        <w:rPr>
          <w:rStyle w:val="44"/>
          <w:rFonts w:ascii="宋体" w:hAnsi="宋体"/>
          <w:color w:val="auto"/>
          <w:szCs w:val="21"/>
          <w:highlight w:val="none"/>
        </w:rPr>
      </w:pPr>
    </w:p>
    <w:p w14:paraId="57BF095D">
      <w:pPr>
        <w:shd w:val="clear" w:color="auto" w:fill="auto"/>
        <w:snapToGrid w:val="0"/>
        <w:rPr>
          <w:rStyle w:val="44"/>
          <w:rFonts w:ascii="宋体" w:hAnsi="宋体"/>
          <w:color w:val="auto"/>
          <w:szCs w:val="21"/>
          <w:highlight w:val="none"/>
        </w:rPr>
      </w:pPr>
    </w:p>
    <w:p w14:paraId="4231C522">
      <w:pPr>
        <w:shd w:val="clear" w:color="auto" w:fill="auto"/>
        <w:snapToGrid w:val="0"/>
        <w:rPr>
          <w:rStyle w:val="44"/>
          <w:rFonts w:ascii="宋体" w:hAnsi="宋体"/>
          <w:color w:val="auto"/>
          <w:szCs w:val="21"/>
          <w:highlight w:val="none"/>
        </w:rPr>
      </w:pPr>
    </w:p>
    <w:p w14:paraId="16FD6464">
      <w:pPr>
        <w:shd w:val="clear" w:color="auto" w:fill="auto"/>
        <w:snapToGrid w:val="0"/>
        <w:rPr>
          <w:rStyle w:val="44"/>
          <w:rFonts w:ascii="宋体" w:hAnsi="宋体"/>
          <w:color w:val="auto"/>
          <w:szCs w:val="21"/>
          <w:highlight w:val="none"/>
        </w:rPr>
      </w:pPr>
    </w:p>
    <w:p w14:paraId="1F80163D">
      <w:pPr>
        <w:shd w:val="clear" w:color="auto" w:fill="auto"/>
        <w:snapToGrid w:val="0"/>
        <w:rPr>
          <w:rStyle w:val="44"/>
          <w:rFonts w:ascii="宋体" w:hAnsi="宋体"/>
          <w:color w:val="auto"/>
          <w:szCs w:val="21"/>
          <w:highlight w:val="none"/>
        </w:rPr>
      </w:pPr>
    </w:p>
    <w:p w14:paraId="7DDCE419">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 xml:space="preserve">附件1 </w:t>
      </w:r>
    </w:p>
    <w:p w14:paraId="63D5210E">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投 标 书</w:t>
      </w:r>
    </w:p>
    <w:p w14:paraId="47B39200">
      <w:pPr>
        <w:shd w:val="clear" w:color="auto" w:fill="auto"/>
        <w:snapToGrid w:val="0"/>
        <w:spacing w:line="38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0D132721">
      <w:pPr>
        <w:shd w:val="clear" w:color="auto" w:fill="auto"/>
        <w:snapToGrid w:val="0"/>
        <w:spacing w:line="380" w:lineRule="exact"/>
        <w:ind w:firstLine="600" w:firstLineChars="250"/>
        <w:rPr>
          <w:rStyle w:val="44"/>
          <w:rFonts w:ascii="宋体" w:hAnsi="宋体"/>
          <w:color w:val="auto"/>
          <w:sz w:val="24"/>
          <w:szCs w:val="24"/>
          <w:highlight w:val="none"/>
        </w:rPr>
      </w:pPr>
      <w:r>
        <w:rPr>
          <w:rStyle w:val="44"/>
          <w:rFonts w:ascii="宋体" w:hAnsi="宋体"/>
          <w:color w:val="auto"/>
          <w:sz w:val="24"/>
          <w:szCs w:val="24"/>
          <w:highlight w:val="none"/>
        </w:rPr>
        <w:t>根据贵方为项目的投标邀请（招标编号：）本签字代表：</w:t>
      </w:r>
      <w:r>
        <w:rPr>
          <w:rStyle w:val="44"/>
          <w:rFonts w:ascii="宋体" w:hAnsi="宋体"/>
          <w:color w:val="auto"/>
          <w:sz w:val="24"/>
          <w:szCs w:val="24"/>
          <w:highlight w:val="none"/>
          <w:u w:val="single" w:color="000000"/>
        </w:rPr>
        <w:t xml:space="preserve"> （全名、职务）</w:t>
      </w:r>
      <w:r>
        <w:rPr>
          <w:rStyle w:val="44"/>
          <w:rFonts w:ascii="宋体" w:hAnsi="宋体"/>
          <w:color w:val="auto"/>
          <w:sz w:val="24"/>
          <w:szCs w:val="24"/>
          <w:highlight w:val="none"/>
        </w:rPr>
        <w:t>经正式授权并代表投标人</w:t>
      </w:r>
      <w:r>
        <w:rPr>
          <w:rStyle w:val="44"/>
          <w:rFonts w:ascii="宋体" w:hAnsi="宋体"/>
          <w:color w:val="auto"/>
          <w:sz w:val="24"/>
          <w:szCs w:val="24"/>
          <w:highlight w:val="none"/>
          <w:u w:val="single" w:color="000000"/>
        </w:rPr>
        <w:t xml:space="preserve">： （投标人名称、地址）  </w:t>
      </w:r>
      <w:r>
        <w:rPr>
          <w:rStyle w:val="44"/>
          <w:rFonts w:ascii="宋体" w:hAnsi="宋体"/>
          <w:color w:val="auto"/>
          <w:sz w:val="24"/>
          <w:szCs w:val="24"/>
          <w:highlight w:val="none"/>
        </w:rPr>
        <w:t>提交下述文件正本壹份和副本伍份。</w:t>
      </w:r>
    </w:p>
    <w:p w14:paraId="11B7F230">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投标书</w:t>
      </w:r>
    </w:p>
    <w:p w14:paraId="6907304C">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技术与商务评分部分应答表</w:t>
      </w:r>
      <w:r>
        <w:rPr>
          <w:rStyle w:val="44"/>
          <w:rFonts w:hint="eastAsia" w:ascii="宋体" w:hAnsi="宋体"/>
          <w:color w:val="auto"/>
          <w:sz w:val="24"/>
          <w:szCs w:val="24"/>
          <w:highlight w:val="none"/>
          <w:lang w:eastAsia="zh-CN"/>
        </w:rPr>
        <w:t>（若有）</w:t>
      </w:r>
    </w:p>
    <w:p w14:paraId="3AF66370">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技术和商务偏离表</w:t>
      </w:r>
    </w:p>
    <w:p w14:paraId="695C9B3C">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投标人资格证明文件</w:t>
      </w:r>
    </w:p>
    <w:p w14:paraId="1EAC9286">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招标服务费承诺书</w:t>
      </w:r>
    </w:p>
    <w:p w14:paraId="050A9BCD">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投标保证金</w:t>
      </w:r>
    </w:p>
    <w:p w14:paraId="5998A8B8">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投标人提交的其它资料</w:t>
      </w:r>
    </w:p>
    <w:p w14:paraId="5A87DF16">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据此函，签字代表宣布同意如下：</w:t>
      </w:r>
    </w:p>
    <w:p w14:paraId="33E0C9C4">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1、所附详细报价表中规定的应提供和交付的服务报价总价具体详见开标一览表。</w:t>
      </w:r>
    </w:p>
    <w:p w14:paraId="5477C29A">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2、投标人已详细审查全部招标文件，包括修改文件（如果有的话）和有关附件，将自行承担因对全部招标文件理解不正确或误解而产生的相应后果。</w:t>
      </w:r>
    </w:p>
    <w:p w14:paraId="0296D048">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3、投标人保证遵守招标文件的全部规定，投标人所提交的材料中所含的信息均为真实、准确、完整且不具有任何误导性。</w:t>
      </w:r>
    </w:p>
    <w:p w14:paraId="24B92285">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4、投标人将按招标文件的规定履行合同责任和义务。</w:t>
      </w:r>
    </w:p>
    <w:p w14:paraId="2F8C8853">
      <w:pPr>
        <w:shd w:val="clear" w:color="auto" w:fill="auto"/>
        <w:snapToGrid w:val="0"/>
        <w:spacing w:line="3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5、本投标文件自开标日起投标有效期为</w:t>
      </w:r>
      <w:r>
        <w:rPr>
          <w:rStyle w:val="44"/>
          <w:rFonts w:ascii="宋体" w:hAnsi="宋体"/>
          <w:color w:val="auto"/>
          <w:sz w:val="24"/>
          <w:szCs w:val="24"/>
          <w:highlight w:val="none"/>
          <w:u w:val="single" w:color="000000"/>
        </w:rPr>
        <w:t xml:space="preserve">  90 </w:t>
      </w:r>
      <w:r>
        <w:rPr>
          <w:rStyle w:val="44"/>
          <w:rFonts w:ascii="宋体" w:hAnsi="宋体"/>
          <w:color w:val="auto"/>
          <w:sz w:val="24"/>
          <w:szCs w:val="24"/>
          <w:highlight w:val="none"/>
        </w:rPr>
        <w:t>天。</w:t>
      </w:r>
    </w:p>
    <w:p w14:paraId="17426254">
      <w:pPr>
        <w:shd w:val="clear" w:color="auto" w:fill="auto"/>
        <w:snapToGrid w:val="0"/>
        <w:spacing w:line="380" w:lineRule="exact"/>
        <w:ind w:firstLine="480" w:firstLineChars="200"/>
        <w:rPr>
          <w:rStyle w:val="44"/>
          <w:rFonts w:ascii="宋体" w:hAnsi="宋体"/>
          <w:color w:val="auto"/>
          <w:spacing w:val="-4"/>
          <w:sz w:val="24"/>
          <w:szCs w:val="24"/>
          <w:highlight w:val="none"/>
        </w:rPr>
      </w:pPr>
      <w:r>
        <w:rPr>
          <w:rStyle w:val="44"/>
          <w:rFonts w:ascii="宋体" w:hAnsi="宋体"/>
          <w:color w:val="auto"/>
          <w:sz w:val="24"/>
          <w:szCs w:val="24"/>
          <w:highlight w:val="none"/>
        </w:rPr>
        <w:t>6、</w:t>
      </w:r>
      <w:r>
        <w:rPr>
          <w:rStyle w:val="44"/>
          <w:rFonts w:ascii="宋体" w:hAnsi="宋体"/>
          <w:color w:val="auto"/>
          <w:spacing w:val="-4"/>
          <w:sz w:val="24"/>
          <w:szCs w:val="24"/>
          <w:highlight w:val="none"/>
        </w:rPr>
        <w:t>如果发生招标文件第二章投标人须知第12条所述情况，则同意招标代理机构不予退还其投标保证金。</w:t>
      </w:r>
    </w:p>
    <w:p w14:paraId="31A34480">
      <w:pPr>
        <w:shd w:val="clear" w:color="auto" w:fill="auto"/>
        <w:snapToGrid w:val="0"/>
        <w:spacing w:line="380" w:lineRule="exact"/>
        <w:ind w:firstLine="464" w:firstLineChars="200"/>
        <w:rPr>
          <w:rStyle w:val="44"/>
          <w:rFonts w:ascii="宋体" w:hAnsi="宋体"/>
          <w:color w:val="auto"/>
          <w:spacing w:val="-4"/>
          <w:sz w:val="24"/>
          <w:szCs w:val="24"/>
          <w:highlight w:val="none"/>
        </w:rPr>
      </w:pPr>
      <w:r>
        <w:rPr>
          <w:rStyle w:val="44"/>
          <w:rFonts w:ascii="宋体" w:hAnsi="宋体"/>
          <w:color w:val="auto"/>
          <w:spacing w:val="-4"/>
          <w:sz w:val="24"/>
          <w:szCs w:val="24"/>
          <w:highlight w:val="none"/>
        </w:rPr>
        <w:t>7、投标人同意提供按照招标单位可能要求的与其投标有关的一切数据或资料，完全理解贵方不一定接受最低的报价或收到的任何投标报价。</w:t>
      </w:r>
    </w:p>
    <w:p w14:paraId="0AFD9C03">
      <w:pPr>
        <w:shd w:val="clear" w:color="auto" w:fill="auto"/>
        <w:snapToGrid w:val="0"/>
        <w:spacing w:line="380" w:lineRule="exact"/>
        <w:ind w:firstLine="464" w:firstLineChars="200"/>
        <w:rPr>
          <w:rStyle w:val="44"/>
          <w:rFonts w:ascii="宋体" w:hAnsi="宋体"/>
          <w:color w:val="auto"/>
          <w:spacing w:val="-4"/>
          <w:sz w:val="24"/>
          <w:szCs w:val="24"/>
          <w:highlight w:val="none"/>
        </w:rPr>
      </w:pPr>
      <w:r>
        <w:rPr>
          <w:rStyle w:val="44"/>
          <w:rFonts w:ascii="宋体" w:hAnsi="宋体"/>
          <w:color w:val="auto"/>
          <w:spacing w:val="-4"/>
          <w:sz w:val="24"/>
          <w:szCs w:val="24"/>
          <w:highlight w:val="none"/>
        </w:rPr>
        <w:t>8、与本投标有关的一切正式往来通讯请寄：</w:t>
      </w:r>
    </w:p>
    <w:p w14:paraId="0DA0E41F">
      <w:pPr>
        <w:shd w:val="clear" w:color="auto" w:fill="auto"/>
        <w:snapToGrid w:val="0"/>
        <w:spacing w:line="380" w:lineRule="exact"/>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地址：                   邮编：</w:t>
      </w:r>
    </w:p>
    <w:p w14:paraId="3D9D0A13">
      <w:pPr>
        <w:shd w:val="clear" w:color="auto" w:fill="auto"/>
        <w:snapToGrid w:val="0"/>
        <w:spacing w:line="380" w:lineRule="exact"/>
        <w:rPr>
          <w:rStyle w:val="44"/>
          <w:rFonts w:ascii="宋体" w:hAnsi="宋体"/>
          <w:color w:val="auto"/>
          <w:spacing w:val="-4"/>
          <w:sz w:val="24"/>
          <w:szCs w:val="24"/>
          <w:highlight w:val="none"/>
        </w:rPr>
      </w:pPr>
      <w:r>
        <w:rPr>
          <w:rStyle w:val="44"/>
          <w:rFonts w:ascii="宋体" w:hAnsi="宋体"/>
          <w:color w:val="auto"/>
          <w:spacing w:val="-4"/>
          <w:sz w:val="24"/>
          <w:szCs w:val="24"/>
          <w:highlight w:val="none"/>
        </w:rPr>
        <w:t>电话：                   传真：</w:t>
      </w:r>
    </w:p>
    <w:p w14:paraId="431450EC">
      <w:pPr>
        <w:shd w:val="clear" w:color="auto" w:fill="auto"/>
        <w:snapToGrid w:val="0"/>
        <w:spacing w:line="380" w:lineRule="exact"/>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投标人代表签字：</w:t>
      </w:r>
    </w:p>
    <w:p w14:paraId="61870964">
      <w:pPr>
        <w:shd w:val="clear" w:color="auto" w:fill="auto"/>
        <w:snapToGrid w:val="0"/>
        <w:spacing w:line="380" w:lineRule="exact"/>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投标人名称：</w:t>
      </w:r>
      <w:r>
        <w:rPr>
          <w:rStyle w:val="44"/>
          <w:rFonts w:ascii="宋体" w:hAnsi="宋体"/>
          <w:color w:val="auto"/>
          <w:spacing w:val="-4"/>
          <w:sz w:val="24"/>
          <w:szCs w:val="24"/>
          <w:highlight w:val="none"/>
          <w:u w:val="single" w:color="000000"/>
        </w:rPr>
        <w:t xml:space="preserve">    （全称并加盖公章）      </w:t>
      </w:r>
    </w:p>
    <w:p w14:paraId="453C11A0">
      <w:pPr>
        <w:shd w:val="clear" w:color="auto" w:fill="auto"/>
        <w:snapToGrid w:val="0"/>
        <w:spacing w:line="380" w:lineRule="exact"/>
        <w:rPr>
          <w:rStyle w:val="44"/>
          <w:rFonts w:ascii="宋体" w:hAnsi="宋体"/>
          <w:color w:val="auto"/>
          <w:spacing w:val="-4"/>
          <w:sz w:val="24"/>
          <w:szCs w:val="24"/>
          <w:highlight w:val="none"/>
        </w:rPr>
      </w:pPr>
      <w:r>
        <w:rPr>
          <w:rStyle w:val="44"/>
          <w:rFonts w:ascii="宋体" w:hAnsi="宋体"/>
          <w:color w:val="auto"/>
          <w:spacing w:val="-4"/>
          <w:sz w:val="24"/>
          <w:szCs w:val="24"/>
          <w:highlight w:val="none"/>
        </w:rPr>
        <w:t>日期</w:t>
      </w:r>
      <w:r>
        <w:rPr>
          <w:rStyle w:val="44"/>
          <w:rFonts w:ascii="宋体" w:hAnsi="宋体"/>
          <w:color w:val="auto"/>
          <w:spacing w:val="-4"/>
          <w:sz w:val="24"/>
          <w:szCs w:val="24"/>
          <w:highlight w:val="none"/>
          <w:u w:val="single" w:color="000000"/>
        </w:rPr>
        <w:t xml:space="preserve">：     </w:t>
      </w:r>
      <w:r>
        <w:rPr>
          <w:rStyle w:val="44"/>
          <w:rFonts w:ascii="宋体" w:hAnsi="宋体"/>
          <w:color w:val="auto"/>
          <w:spacing w:val="-4"/>
          <w:sz w:val="24"/>
          <w:szCs w:val="24"/>
          <w:highlight w:val="none"/>
        </w:rPr>
        <w:t>年月日</w:t>
      </w:r>
    </w:p>
    <w:p w14:paraId="44BC0036">
      <w:pPr>
        <w:shd w:val="clear" w:color="auto" w:fill="auto"/>
        <w:snapToGrid w:val="0"/>
        <w:spacing w:line="380" w:lineRule="exact"/>
        <w:rPr>
          <w:rStyle w:val="44"/>
          <w:rFonts w:ascii="宋体" w:hAnsi="宋体"/>
          <w:color w:val="auto"/>
          <w:spacing w:val="-4"/>
          <w:sz w:val="20"/>
          <w:szCs w:val="21"/>
          <w:highlight w:val="none"/>
        </w:rPr>
      </w:pPr>
    </w:p>
    <w:p w14:paraId="016F73C6">
      <w:pPr>
        <w:shd w:val="clear" w:color="auto" w:fill="auto"/>
        <w:snapToGrid w:val="0"/>
        <w:rPr>
          <w:rStyle w:val="44"/>
          <w:rFonts w:ascii="宋体" w:hAnsi="宋体"/>
          <w:color w:val="auto"/>
          <w:sz w:val="20"/>
          <w:szCs w:val="21"/>
          <w:highlight w:val="none"/>
        </w:rPr>
      </w:pPr>
    </w:p>
    <w:p w14:paraId="05957AD6">
      <w:pPr>
        <w:shd w:val="clear" w:color="auto" w:fill="auto"/>
        <w:snapToGrid w:val="0"/>
        <w:rPr>
          <w:rStyle w:val="44"/>
          <w:rFonts w:ascii="宋体" w:hAnsi="宋体"/>
          <w:color w:val="auto"/>
          <w:sz w:val="20"/>
          <w:szCs w:val="21"/>
          <w:highlight w:val="none"/>
        </w:rPr>
      </w:pPr>
    </w:p>
    <w:p w14:paraId="177449A1">
      <w:pPr>
        <w:shd w:val="clear" w:color="auto" w:fill="auto"/>
        <w:snapToGrid w:val="0"/>
        <w:rPr>
          <w:rStyle w:val="44"/>
          <w:rFonts w:ascii="宋体" w:hAnsi="宋体"/>
          <w:color w:val="auto"/>
          <w:sz w:val="20"/>
          <w:szCs w:val="21"/>
          <w:highlight w:val="none"/>
        </w:rPr>
      </w:pPr>
    </w:p>
    <w:p w14:paraId="0A862AFB">
      <w:pPr>
        <w:shd w:val="clear" w:color="auto" w:fill="auto"/>
        <w:snapToGrid w:val="0"/>
        <w:rPr>
          <w:rStyle w:val="44"/>
          <w:rFonts w:ascii="宋体" w:hAnsi="宋体"/>
          <w:color w:val="auto"/>
          <w:sz w:val="20"/>
          <w:szCs w:val="21"/>
          <w:highlight w:val="none"/>
        </w:rPr>
      </w:pPr>
    </w:p>
    <w:p w14:paraId="343524AE">
      <w:pPr>
        <w:shd w:val="clear" w:color="auto" w:fill="auto"/>
        <w:snapToGrid w:val="0"/>
        <w:rPr>
          <w:rStyle w:val="44"/>
          <w:rFonts w:ascii="宋体" w:hAnsi="宋体"/>
          <w:color w:val="auto"/>
          <w:szCs w:val="21"/>
          <w:highlight w:val="none"/>
        </w:rPr>
      </w:pPr>
    </w:p>
    <w:p w14:paraId="6F7B0683">
      <w:pPr>
        <w:shd w:val="clear" w:color="auto" w:fill="auto"/>
        <w:snapToGrid w:val="0"/>
        <w:rPr>
          <w:rStyle w:val="44"/>
          <w:rFonts w:ascii="宋体" w:hAnsi="宋体"/>
          <w:color w:val="auto"/>
          <w:szCs w:val="21"/>
          <w:highlight w:val="none"/>
        </w:rPr>
      </w:pPr>
    </w:p>
    <w:p w14:paraId="77F89626">
      <w:pPr>
        <w:shd w:val="clear" w:color="auto" w:fill="auto"/>
        <w:snapToGrid w:val="0"/>
        <w:rPr>
          <w:rStyle w:val="44"/>
          <w:rFonts w:ascii="宋体" w:hAnsi="宋体"/>
          <w:color w:val="auto"/>
          <w:szCs w:val="21"/>
          <w:highlight w:val="none"/>
        </w:rPr>
      </w:pPr>
    </w:p>
    <w:p w14:paraId="2B4AC8A8">
      <w:pPr>
        <w:shd w:val="clear" w:color="auto" w:fill="auto"/>
        <w:snapToGrid w:val="0"/>
        <w:rPr>
          <w:rStyle w:val="44"/>
          <w:rFonts w:ascii="宋体" w:hAnsi="宋体"/>
          <w:color w:val="auto"/>
          <w:szCs w:val="21"/>
          <w:highlight w:val="none"/>
        </w:rPr>
      </w:pPr>
    </w:p>
    <w:p w14:paraId="2306A042">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附件3</w:t>
      </w:r>
    </w:p>
    <w:p w14:paraId="35E6415D">
      <w:pPr>
        <w:shd w:val="clear" w:color="auto" w:fill="auto"/>
        <w:snapToGrid w:val="0"/>
        <w:rPr>
          <w:rStyle w:val="44"/>
          <w:rFonts w:ascii="宋体" w:hAnsi="宋体"/>
          <w:color w:val="auto"/>
          <w:sz w:val="20"/>
          <w:szCs w:val="21"/>
          <w:highlight w:val="none"/>
        </w:rPr>
      </w:pPr>
    </w:p>
    <w:p w14:paraId="2C8CC12F">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技术和商务偏离表</w:t>
      </w:r>
    </w:p>
    <w:p w14:paraId="795F35F1">
      <w:pPr>
        <w:shd w:val="clear" w:color="auto" w:fill="auto"/>
        <w:snapToGrid w:val="0"/>
        <w:rPr>
          <w:rStyle w:val="44"/>
          <w:rFonts w:ascii="宋体" w:hAnsi="宋体"/>
          <w:color w:val="auto"/>
          <w:spacing w:val="-4"/>
          <w:sz w:val="20"/>
          <w:szCs w:val="21"/>
          <w:highlight w:val="none"/>
        </w:rPr>
      </w:pPr>
    </w:p>
    <w:p w14:paraId="256252D9">
      <w:pPr>
        <w:shd w:val="clear" w:color="auto" w:fill="auto"/>
        <w:snapToGrid w:val="0"/>
        <w:rPr>
          <w:rStyle w:val="44"/>
          <w:rFonts w:ascii="宋体" w:hAnsi="宋体"/>
          <w:color w:val="auto"/>
          <w:spacing w:val="-4"/>
          <w:sz w:val="24"/>
          <w:szCs w:val="24"/>
          <w:highlight w:val="none"/>
          <w:u w:val="single" w:color="000000"/>
        </w:rPr>
      </w:pPr>
      <w:r>
        <w:rPr>
          <w:rStyle w:val="44"/>
          <w:rFonts w:ascii="宋体" w:hAnsi="宋体"/>
          <w:color w:val="auto"/>
          <w:spacing w:val="-4"/>
          <w:sz w:val="24"/>
          <w:szCs w:val="24"/>
          <w:highlight w:val="none"/>
        </w:rPr>
        <w:t>投标人名称：</w:t>
      </w:r>
      <w:r>
        <w:rPr>
          <w:rStyle w:val="44"/>
          <w:rFonts w:ascii="宋体" w:hAnsi="宋体"/>
          <w:color w:val="auto"/>
          <w:spacing w:val="-4"/>
          <w:sz w:val="24"/>
          <w:szCs w:val="24"/>
          <w:highlight w:val="none"/>
          <w:u w:val="single" w:color="000000"/>
        </w:rPr>
        <w:t xml:space="preserve">        （全称并加盖公章）        </w:t>
      </w:r>
      <w:r>
        <w:rPr>
          <w:rStyle w:val="44"/>
          <w:rFonts w:ascii="宋体" w:hAnsi="宋体"/>
          <w:color w:val="auto"/>
          <w:spacing w:val="-4"/>
          <w:sz w:val="24"/>
          <w:szCs w:val="24"/>
          <w:highlight w:val="none"/>
        </w:rPr>
        <w:t xml:space="preserve">                   招标编号：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2"/>
        <w:gridCol w:w="2522"/>
        <w:gridCol w:w="2361"/>
        <w:gridCol w:w="1991"/>
      </w:tblGrid>
      <w:tr w14:paraId="3EBE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62D5126">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项目名称</w:t>
            </w: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0B6E74E0">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招标文件要求</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1980C8CC">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投标响应承诺</w:t>
            </w: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C16E637">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偏离说明</w:t>
            </w:r>
          </w:p>
        </w:tc>
      </w:tr>
      <w:tr w14:paraId="168F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D8C080B">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74C2F5CB">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7D50A5BB">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97721E4">
            <w:pPr>
              <w:shd w:val="clear" w:color="auto" w:fill="auto"/>
              <w:snapToGrid w:val="0"/>
              <w:rPr>
                <w:rStyle w:val="44"/>
                <w:rFonts w:ascii="宋体" w:hAnsi="宋体"/>
                <w:color w:val="auto"/>
                <w:sz w:val="24"/>
                <w:szCs w:val="24"/>
                <w:highlight w:val="none"/>
              </w:rPr>
            </w:pPr>
          </w:p>
        </w:tc>
      </w:tr>
      <w:tr w14:paraId="0A70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60B88F8B">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1806D38">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4FBDEC7A">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4615F9B">
            <w:pPr>
              <w:shd w:val="clear" w:color="auto" w:fill="auto"/>
              <w:snapToGrid w:val="0"/>
              <w:rPr>
                <w:rStyle w:val="44"/>
                <w:rFonts w:ascii="宋体" w:hAnsi="宋体"/>
                <w:color w:val="auto"/>
                <w:sz w:val="24"/>
                <w:szCs w:val="24"/>
                <w:highlight w:val="none"/>
              </w:rPr>
            </w:pPr>
          </w:p>
        </w:tc>
      </w:tr>
      <w:tr w14:paraId="0799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446A52A1">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0B88A3A7">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630B7383">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0B611A81">
            <w:pPr>
              <w:shd w:val="clear" w:color="auto" w:fill="auto"/>
              <w:snapToGrid w:val="0"/>
              <w:rPr>
                <w:rStyle w:val="44"/>
                <w:rFonts w:ascii="宋体" w:hAnsi="宋体"/>
                <w:color w:val="auto"/>
                <w:sz w:val="24"/>
                <w:szCs w:val="24"/>
                <w:highlight w:val="none"/>
              </w:rPr>
            </w:pPr>
          </w:p>
        </w:tc>
      </w:tr>
      <w:tr w14:paraId="326D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E93FB70">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D2A1764">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1D74E9C0">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450C2460">
            <w:pPr>
              <w:shd w:val="clear" w:color="auto" w:fill="auto"/>
              <w:snapToGrid w:val="0"/>
              <w:rPr>
                <w:rStyle w:val="44"/>
                <w:rFonts w:ascii="宋体" w:hAnsi="宋体"/>
                <w:color w:val="auto"/>
                <w:sz w:val="24"/>
                <w:szCs w:val="24"/>
                <w:highlight w:val="none"/>
              </w:rPr>
            </w:pPr>
          </w:p>
        </w:tc>
      </w:tr>
      <w:tr w14:paraId="4667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63F6001A">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F471007">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0A67E8E1">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0E50FD7">
            <w:pPr>
              <w:shd w:val="clear" w:color="auto" w:fill="auto"/>
              <w:snapToGrid w:val="0"/>
              <w:rPr>
                <w:rStyle w:val="44"/>
                <w:rFonts w:ascii="宋体" w:hAnsi="宋体"/>
                <w:color w:val="auto"/>
                <w:sz w:val="24"/>
                <w:szCs w:val="24"/>
                <w:highlight w:val="none"/>
              </w:rPr>
            </w:pPr>
          </w:p>
        </w:tc>
      </w:tr>
      <w:tr w14:paraId="6D64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F503EB7">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2787271F">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27F64AF8">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6AAA42F7">
            <w:pPr>
              <w:shd w:val="clear" w:color="auto" w:fill="auto"/>
              <w:snapToGrid w:val="0"/>
              <w:rPr>
                <w:rStyle w:val="44"/>
                <w:rFonts w:ascii="宋体" w:hAnsi="宋体"/>
                <w:color w:val="auto"/>
                <w:sz w:val="24"/>
                <w:szCs w:val="24"/>
                <w:highlight w:val="none"/>
              </w:rPr>
            </w:pPr>
          </w:p>
        </w:tc>
      </w:tr>
      <w:tr w14:paraId="08B6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DACEE73">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6A8A388C">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5D685E1A">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AB8C454">
            <w:pPr>
              <w:shd w:val="clear" w:color="auto" w:fill="auto"/>
              <w:snapToGrid w:val="0"/>
              <w:rPr>
                <w:rStyle w:val="44"/>
                <w:rFonts w:ascii="宋体" w:hAnsi="宋体"/>
                <w:color w:val="auto"/>
                <w:sz w:val="24"/>
                <w:szCs w:val="24"/>
                <w:highlight w:val="none"/>
              </w:rPr>
            </w:pPr>
          </w:p>
        </w:tc>
      </w:tr>
      <w:tr w14:paraId="2CF4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4C988431">
            <w:pPr>
              <w:shd w:val="clear" w:color="auto" w:fill="auto"/>
              <w:snapToGrid w:val="0"/>
              <w:rPr>
                <w:rStyle w:val="44"/>
                <w:rFonts w:ascii="宋体" w:hAnsi="宋体"/>
                <w:color w:val="auto"/>
                <w:sz w:val="24"/>
                <w:szCs w:val="24"/>
                <w:highlight w:val="none"/>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893F9CA">
            <w:pPr>
              <w:shd w:val="clear" w:color="auto" w:fill="auto"/>
              <w:snapToGrid w:val="0"/>
              <w:rPr>
                <w:rStyle w:val="44"/>
                <w:rFonts w:ascii="宋体" w:hAnsi="宋体"/>
                <w:color w:val="auto"/>
                <w:sz w:val="24"/>
                <w:szCs w:val="24"/>
                <w:highlight w:val="none"/>
              </w:rPr>
            </w:pPr>
          </w:p>
        </w:tc>
        <w:tc>
          <w:tcPr>
            <w:tcW w:w="2361" w:type="dxa"/>
            <w:tcBorders>
              <w:top w:val="single" w:color="000000" w:sz="4" w:space="0"/>
              <w:left w:val="single" w:color="000000" w:sz="4" w:space="0"/>
              <w:bottom w:val="single" w:color="000000" w:sz="4" w:space="0"/>
              <w:right w:val="single" w:color="000000" w:sz="4" w:space="0"/>
            </w:tcBorders>
            <w:noWrap w:val="0"/>
            <w:vAlign w:val="center"/>
          </w:tcPr>
          <w:p w14:paraId="31B049BD">
            <w:pPr>
              <w:shd w:val="clear" w:color="auto" w:fill="auto"/>
              <w:snapToGrid w:val="0"/>
              <w:rPr>
                <w:rStyle w:val="44"/>
                <w:rFonts w:ascii="宋体" w:hAnsi="宋体"/>
                <w:color w:val="auto"/>
                <w:sz w:val="24"/>
                <w:szCs w:val="24"/>
                <w:highlight w:val="none"/>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6360A2D">
            <w:pPr>
              <w:shd w:val="clear" w:color="auto" w:fill="auto"/>
              <w:snapToGrid w:val="0"/>
              <w:rPr>
                <w:rStyle w:val="44"/>
                <w:rFonts w:ascii="宋体" w:hAnsi="宋体"/>
                <w:color w:val="auto"/>
                <w:sz w:val="24"/>
                <w:szCs w:val="24"/>
                <w:highlight w:val="none"/>
              </w:rPr>
            </w:pPr>
          </w:p>
        </w:tc>
      </w:tr>
    </w:tbl>
    <w:p w14:paraId="51E68B5B">
      <w:pPr>
        <w:shd w:val="clear" w:color="auto" w:fill="auto"/>
        <w:snapToGrid w:val="0"/>
        <w:rPr>
          <w:rStyle w:val="44"/>
          <w:rFonts w:ascii="宋体" w:hAnsi="宋体"/>
          <w:color w:val="auto"/>
          <w:sz w:val="24"/>
          <w:szCs w:val="24"/>
          <w:highlight w:val="none"/>
        </w:rPr>
      </w:pPr>
    </w:p>
    <w:p w14:paraId="70981C14">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投标人代表签字：</w:t>
      </w:r>
    </w:p>
    <w:p w14:paraId="44BAADB3">
      <w:pPr>
        <w:shd w:val="clear" w:color="auto" w:fill="auto"/>
        <w:snapToGrid w:val="0"/>
        <w:rPr>
          <w:rStyle w:val="44"/>
          <w:rFonts w:ascii="宋体" w:hAnsi="宋体"/>
          <w:color w:val="auto"/>
          <w:sz w:val="24"/>
          <w:szCs w:val="24"/>
          <w:highlight w:val="none"/>
        </w:rPr>
      </w:pPr>
    </w:p>
    <w:p w14:paraId="7053660C">
      <w:pPr>
        <w:shd w:val="clear" w:color="auto" w:fill="auto"/>
        <w:snapToGrid w:val="0"/>
        <w:rPr>
          <w:rStyle w:val="44"/>
          <w:rFonts w:ascii="宋体" w:cs="宋体"/>
          <w:b/>
          <w:bCs/>
          <w:color w:val="auto"/>
          <w:sz w:val="24"/>
          <w:szCs w:val="24"/>
          <w:highlight w:val="none"/>
        </w:rPr>
      </w:pPr>
      <w:r>
        <w:rPr>
          <w:rStyle w:val="44"/>
          <w:rFonts w:ascii="宋体" w:hAnsi="宋体"/>
          <w:b/>
          <w:bCs/>
          <w:color w:val="auto"/>
          <w:sz w:val="24"/>
          <w:szCs w:val="24"/>
          <w:highlight w:val="none"/>
        </w:rPr>
        <w:t>投标人须对第三章招标内容及要求中</w:t>
      </w:r>
      <w:r>
        <w:rPr>
          <w:rStyle w:val="44"/>
          <w:rFonts w:hint="eastAsia" w:ascii="宋体" w:hAnsi="宋体"/>
          <w:b/>
          <w:bCs/>
          <w:color w:val="auto"/>
          <w:sz w:val="24"/>
          <w:szCs w:val="24"/>
          <w:highlight w:val="none"/>
          <w:lang w:eastAsia="zh-CN"/>
        </w:rPr>
        <w:t>“二、技术要求”“三、商务条件”</w:t>
      </w:r>
      <w:r>
        <w:rPr>
          <w:rStyle w:val="44"/>
          <w:rFonts w:ascii="宋体" w:hAnsi="宋体"/>
          <w:b/>
          <w:bCs/>
          <w:color w:val="auto"/>
          <w:sz w:val="24"/>
          <w:szCs w:val="24"/>
          <w:highlight w:val="none"/>
        </w:rPr>
        <w:t>的内容是否满足要求在《</w:t>
      </w:r>
      <w:r>
        <w:rPr>
          <w:rStyle w:val="44"/>
          <w:rFonts w:hint="eastAsia" w:ascii="宋体" w:hAnsi="宋体"/>
          <w:b/>
          <w:bCs/>
          <w:color w:val="auto"/>
          <w:sz w:val="24"/>
          <w:szCs w:val="24"/>
          <w:highlight w:val="none"/>
        </w:rPr>
        <w:t>技术和商务偏离表</w:t>
      </w:r>
      <w:r>
        <w:rPr>
          <w:rStyle w:val="44"/>
          <w:rFonts w:ascii="宋体" w:hAnsi="宋体"/>
          <w:b/>
          <w:bCs/>
          <w:color w:val="auto"/>
          <w:sz w:val="24"/>
          <w:szCs w:val="24"/>
          <w:highlight w:val="none"/>
        </w:rPr>
        <w:t>》中进行</w:t>
      </w:r>
      <w:r>
        <w:rPr>
          <w:rStyle w:val="44"/>
          <w:rFonts w:hint="eastAsia" w:ascii="宋体" w:hAnsi="宋体"/>
          <w:b/>
          <w:bCs/>
          <w:color w:val="auto"/>
          <w:sz w:val="24"/>
          <w:szCs w:val="24"/>
          <w:highlight w:val="none"/>
          <w:lang w:eastAsia="zh-CN"/>
        </w:rPr>
        <w:t>响应</w:t>
      </w:r>
      <w:r>
        <w:rPr>
          <w:rStyle w:val="44"/>
          <w:rFonts w:ascii="宋体" w:hAnsi="宋体"/>
          <w:b/>
          <w:bCs/>
          <w:color w:val="auto"/>
          <w:sz w:val="24"/>
          <w:szCs w:val="24"/>
          <w:highlight w:val="none"/>
        </w:rPr>
        <w:t>。</w:t>
      </w:r>
    </w:p>
    <w:p w14:paraId="44E1A88D">
      <w:pPr>
        <w:shd w:val="clear" w:color="auto" w:fill="auto"/>
        <w:snapToGrid w:val="0"/>
        <w:rPr>
          <w:rStyle w:val="44"/>
          <w:rFonts w:ascii="宋体" w:hAnsi="宋体"/>
          <w:color w:val="auto"/>
          <w:sz w:val="20"/>
          <w:szCs w:val="21"/>
          <w:highlight w:val="none"/>
        </w:rPr>
      </w:pPr>
    </w:p>
    <w:p w14:paraId="420D22EA">
      <w:pPr>
        <w:shd w:val="clear" w:color="auto" w:fill="auto"/>
        <w:snapToGrid w:val="0"/>
        <w:rPr>
          <w:rStyle w:val="44"/>
          <w:rFonts w:ascii="宋体" w:hAnsi="宋体"/>
          <w:color w:val="auto"/>
          <w:sz w:val="20"/>
          <w:szCs w:val="21"/>
          <w:highlight w:val="none"/>
        </w:rPr>
      </w:pPr>
    </w:p>
    <w:p w14:paraId="06787EC5">
      <w:pPr>
        <w:shd w:val="clear" w:color="auto" w:fill="auto"/>
        <w:snapToGrid w:val="0"/>
        <w:rPr>
          <w:rStyle w:val="44"/>
          <w:rFonts w:ascii="宋体" w:hAnsi="宋体"/>
          <w:color w:val="auto"/>
          <w:sz w:val="20"/>
          <w:szCs w:val="21"/>
          <w:highlight w:val="none"/>
        </w:rPr>
      </w:pPr>
    </w:p>
    <w:p w14:paraId="4AC50F08">
      <w:pPr>
        <w:shd w:val="clear" w:color="auto" w:fill="auto"/>
        <w:snapToGrid w:val="0"/>
        <w:rPr>
          <w:rStyle w:val="44"/>
          <w:rFonts w:ascii="宋体" w:hAnsi="宋体"/>
          <w:color w:val="auto"/>
          <w:sz w:val="20"/>
          <w:szCs w:val="21"/>
          <w:highlight w:val="none"/>
        </w:rPr>
      </w:pPr>
    </w:p>
    <w:p w14:paraId="2473C6ED">
      <w:pPr>
        <w:shd w:val="clear" w:color="auto" w:fill="auto"/>
        <w:snapToGrid w:val="0"/>
        <w:rPr>
          <w:rStyle w:val="44"/>
          <w:rFonts w:ascii="宋体" w:hAnsi="宋体"/>
          <w:color w:val="auto"/>
          <w:sz w:val="20"/>
          <w:szCs w:val="21"/>
          <w:highlight w:val="none"/>
        </w:rPr>
      </w:pPr>
    </w:p>
    <w:p w14:paraId="216B882F">
      <w:pPr>
        <w:shd w:val="clear" w:color="auto" w:fill="auto"/>
        <w:snapToGrid w:val="0"/>
        <w:rPr>
          <w:rStyle w:val="44"/>
          <w:rFonts w:ascii="宋体" w:hAnsi="宋体"/>
          <w:color w:val="auto"/>
          <w:szCs w:val="21"/>
          <w:highlight w:val="none"/>
        </w:rPr>
      </w:pPr>
    </w:p>
    <w:p w14:paraId="298D1C7E">
      <w:pPr>
        <w:shd w:val="clear" w:color="auto" w:fill="auto"/>
        <w:snapToGrid w:val="0"/>
        <w:rPr>
          <w:rStyle w:val="44"/>
          <w:rFonts w:ascii="宋体" w:hAnsi="宋体"/>
          <w:color w:val="auto"/>
          <w:szCs w:val="21"/>
          <w:highlight w:val="none"/>
        </w:rPr>
      </w:pPr>
    </w:p>
    <w:p w14:paraId="4900B078">
      <w:pPr>
        <w:shd w:val="clear" w:color="auto" w:fill="auto"/>
        <w:snapToGrid w:val="0"/>
        <w:rPr>
          <w:rStyle w:val="44"/>
          <w:rFonts w:ascii="宋体" w:hAnsi="宋体"/>
          <w:color w:val="auto"/>
          <w:szCs w:val="21"/>
          <w:highlight w:val="none"/>
        </w:rPr>
      </w:pPr>
    </w:p>
    <w:p w14:paraId="70A93749">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w:t>
      </w:r>
    </w:p>
    <w:p w14:paraId="7947BF95">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投标人资格证明文件</w:t>
      </w:r>
    </w:p>
    <w:p w14:paraId="4FAC9FA9">
      <w:pPr>
        <w:shd w:val="clear" w:color="auto" w:fill="auto"/>
        <w:snapToGrid w:val="0"/>
        <w:rPr>
          <w:rStyle w:val="44"/>
          <w:rFonts w:ascii="宋体" w:hAnsi="宋体"/>
          <w:color w:val="auto"/>
          <w:sz w:val="20"/>
          <w:szCs w:val="21"/>
          <w:highlight w:val="none"/>
        </w:rPr>
      </w:pPr>
    </w:p>
    <w:p w14:paraId="54A117E6">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附件4-1</w:t>
      </w:r>
    </w:p>
    <w:p w14:paraId="7D472A06">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关于资格的声明函</w:t>
      </w:r>
    </w:p>
    <w:p w14:paraId="27172A88">
      <w:pPr>
        <w:shd w:val="clear" w:color="auto" w:fill="auto"/>
        <w:snapToGrid w:val="0"/>
        <w:spacing w:line="420" w:lineRule="exact"/>
        <w:rPr>
          <w:rStyle w:val="44"/>
          <w:bCs/>
          <w:color w:val="auto"/>
          <w:sz w:val="24"/>
          <w:szCs w:val="24"/>
          <w:highlight w:val="none"/>
        </w:rPr>
      </w:pPr>
      <w:r>
        <w:rPr>
          <w:rStyle w:val="44"/>
          <w:bCs/>
          <w:color w:val="auto"/>
          <w:sz w:val="24"/>
          <w:szCs w:val="24"/>
          <w:highlight w:val="none"/>
        </w:rPr>
        <w:t>致：</w:t>
      </w:r>
      <w:r>
        <w:rPr>
          <w:rStyle w:val="44"/>
          <w:rFonts w:hint="eastAsia" w:ascii="宋体" w:hAnsi="宋体"/>
          <w:bCs/>
          <w:color w:val="auto"/>
          <w:sz w:val="24"/>
          <w:szCs w:val="24"/>
          <w:highlight w:val="none"/>
        </w:rPr>
        <w:t>福建方兴</w:t>
      </w:r>
      <w:r>
        <w:rPr>
          <w:rStyle w:val="44"/>
          <w:bCs/>
          <w:color w:val="auto"/>
          <w:sz w:val="24"/>
          <w:szCs w:val="24"/>
          <w:highlight w:val="none"/>
        </w:rPr>
        <w:t>招标代理有限公司</w:t>
      </w:r>
    </w:p>
    <w:p w14:paraId="60A2AA7C">
      <w:pPr>
        <w:shd w:val="clear" w:color="auto" w:fill="auto"/>
        <w:snapToGrid w:val="0"/>
        <w:spacing w:line="420" w:lineRule="exact"/>
        <w:ind w:firstLine="480" w:firstLineChars="200"/>
        <w:rPr>
          <w:rStyle w:val="44"/>
          <w:rFonts w:ascii="宋体" w:hAnsi="宋体"/>
          <w:color w:val="auto"/>
          <w:kern w:val="0"/>
          <w:sz w:val="24"/>
          <w:szCs w:val="24"/>
          <w:highlight w:val="none"/>
        </w:rPr>
      </w:pPr>
      <w:r>
        <w:rPr>
          <w:rStyle w:val="44"/>
          <w:rFonts w:ascii="宋体" w:hAnsi="宋体"/>
          <w:color w:val="auto"/>
          <w:kern w:val="0"/>
          <w:sz w:val="24"/>
          <w:szCs w:val="24"/>
          <w:highlight w:val="none"/>
        </w:rPr>
        <w:t>关于贵方</w:t>
      </w:r>
      <w:r>
        <w:rPr>
          <w:rStyle w:val="44"/>
          <w:rFonts w:hint="eastAsia" w:ascii="宋体" w:hAnsi="宋体"/>
          <w:color w:val="auto"/>
          <w:kern w:val="0"/>
          <w:sz w:val="24"/>
          <w:szCs w:val="24"/>
          <w:highlight w:val="none"/>
        </w:rPr>
        <w:t xml:space="preserve"> </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年</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月</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日第</w:t>
      </w:r>
      <w:r>
        <w:rPr>
          <w:rStyle w:val="44"/>
          <w:rFonts w:ascii="宋体" w:hAnsi="宋体"/>
          <w:color w:val="auto"/>
          <w:kern w:val="0"/>
          <w:sz w:val="24"/>
          <w:szCs w:val="24"/>
          <w:highlight w:val="none"/>
          <w:u w:val="single" w:color="000000"/>
        </w:rPr>
        <w:t xml:space="preserve">    </w:t>
      </w:r>
      <w:r>
        <w:rPr>
          <w:rStyle w:val="44"/>
          <w:rFonts w:ascii="宋体" w:hAnsi="宋体"/>
          <w:color w:val="auto"/>
          <w:kern w:val="0"/>
          <w:sz w:val="24"/>
          <w:szCs w:val="24"/>
          <w:highlight w:val="none"/>
        </w:rPr>
        <w:t>（招标文件编号）的招标邀请，本签字人愿意参加投标，提供招标文件“招标</w:t>
      </w:r>
      <w:r>
        <w:rPr>
          <w:rStyle w:val="44"/>
          <w:rFonts w:hint="eastAsia" w:ascii="宋体" w:hAnsi="宋体"/>
          <w:color w:val="auto"/>
          <w:kern w:val="0"/>
          <w:sz w:val="24"/>
          <w:szCs w:val="24"/>
          <w:highlight w:val="none"/>
        </w:rPr>
        <w:t>标的</w:t>
      </w:r>
      <w:r>
        <w:rPr>
          <w:rStyle w:val="44"/>
          <w:rFonts w:ascii="宋体" w:hAnsi="宋体"/>
          <w:color w:val="auto"/>
          <w:kern w:val="0"/>
          <w:sz w:val="24"/>
          <w:szCs w:val="24"/>
          <w:highlight w:val="none"/>
        </w:rPr>
        <w:t>一览表”中规定的</w:t>
      </w:r>
      <w:r>
        <w:rPr>
          <w:rStyle w:val="44"/>
          <w:rFonts w:ascii="宋体" w:hAnsi="宋体"/>
          <w:color w:val="auto"/>
          <w:kern w:val="0"/>
          <w:sz w:val="24"/>
          <w:szCs w:val="24"/>
          <w:highlight w:val="none"/>
          <w:u w:val="single" w:color="000000"/>
        </w:rPr>
        <w:t xml:space="preserve">    （合同包/序号）（项目名称）    </w:t>
      </w:r>
      <w:r>
        <w:rPr>
          <w:rStyle w:val="44"/>
          <w:rFonts w:ascii="宋体" w:hAnsi="宋体"/>
          <w:color w:val="auto"/>
          <w:kern w:val="0"/>
          <w:sz w:val="24"/>
          <w:szCs w:val="24"/>
          <w:highlight w:val="none"/>
        </w:rPr>
        <w:t>，并证明提交的下列文件和说明是准确的和真实的。</w:t>
      </w:r>
    </w:p>
    <w:p w14:paraId="46E7981B">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1、本签字人确认资格文件中的说明以及投标文件中所提交的文件和材料是真实的、准确的。</w:t>
      </w:r>
    </w:p>
    <w:p w14:paraId="21757982">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2、我方的资格声明正本一份，副本伍份，随投标文件一同递交。</w:t>
      </w:r>
    </w:p>
    <w:p w14:paraId="0D39BC07">
      <w:pPr>
        <w:shd w:val="clear" w:color="auto" w:fill="auto"/>
        <w:snapToGrid w:val="0"/>
        <w:rPr>
          <w:rStyle w:val="44"/>
          <w:bCs/>
          <w:color w:val="auto"/>
          <w:sz w:val="24"/>
          <w:szCs w:val="24"/>
          <w:highlight w:val="none"/>
        </w:rPr>
      </w:pPr>
    </w:p>
    <w:p w14:paraId="1F337B6B">
      <w:pPr>
        <w:shd w:val="clear" w:color="auto" w:fill="auto"/>
        <w:snapToGrid w:val="0"/>
        <w:rPr>
          <w:rStyle w:val="44"/>
          <w:bCs/>
          <w:color w:val="auto"/>
          <w:sz w:val="24"/>
          <w:szCs w:val="24"/>
          <w:highlight w:val="none"/>
        </w:rPr>
      </w:pPr>
    </w:p>
    <w:p w14:paraId="3561D8E7">
      <w:pPr>
        <w:shd w:val="clear" w:color="auto" w:fill="auto"/>
        <w:snapToGrid w:val="0"/>
        <w:spacing w:line="42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投标人名称：</w:t>
      </w:r>
      <w:r>
        <w:rPr>
          <w:rStyle w:val="44"/>
          <w:rFonts w:ascii="宋体" w:hAnsi="宋体"/>
          <w:color w:val="auto"/>
          <w:kern w:val="0"/>
          <w:sz w:val="24"/>
          <w:szCs w:val="24"/>
          <w:highlight w:val="none"/>
          <w:u w:val="single" w:color="000000"/>
        </w:rPr>
        <w:t xml:space="preserve">            </w:t>
      </w:r>
      <w:r>
        <w:rPr>
          <w:rStyle w:val="44"/>
          <w:rFonts w:hint="eastAsia" w:ascii="宋体" w:hAnsi="宋体"/>
          <w:color w:val="auto"/>
          <w:kern w:val="0"/>
          <w:sz w:val="24"/>
          <w:szCs w:val="24"/>
          <w:highlight w:val="none"/>
          <w:u w:val="single" w:color="000000"/>
          <w:lang w:eastAsia="zh-CN"/>
        </w:rPr>
        <w:t>（</w:t>
      </w:r>
      <w:r>
        <w:rPr>
          <w:rStyle w:val="44"/>
          <w:rFonts w:ascii="宋体" w:hAnsi="宋体"/>
          <w:color w:val="auto"/>
          <w:kern w:val="0"/>
          <w:sz w:val="24"/>
          <w:szCs w:val="24"/>
          <w:highlight w:val="none"/>
          <w:u w:val="single" w:color="000000"/>
        </w:rPr>
        <w:t>全称并加盖公章</w:t>
      </w:r>
      <w:r>
        <w:rPr>
          <w:rStyle w:val="44"/>
          <w:rFonts w:hint="eastAsia" w:ascii="宋体" w:hAnsi="宋体"/>
          <w:color w:val="auto"/>
          <w:kern w:val="0"/>
          <w:sz w:val="24"/>
          <w:szCs w:val="24"/>
          <w:highlight w:val="none"/>
          <w:u w:val="single" w:color="000000"/>
          <w:lang w:eastAsia="zh-CN"/>
        </w:rPr>
        <w:t>）</w:t>
      </w:r>
      <w:r>
        <w:rPr>
          <w:rStyle w:val="44"/>
          <w:rFonts w:ascii="宋体" w:hAnsi="宋体"/>
          <w:color w:val="auto"/>
          <w:kern w:val="0"/>
          <w:sz w:val="24"/>
          <w:szCs w:val="24"/>
          <w:highlight w:val="none"/>
          <w:u w:val="single" w:color="000000"/>
        </w:rPr>
        <w:t xml:space="preserve">                </w:t>
      </w:r>
    </w:p>
    <w:p w14:paraId="2F457D16">
      <w:pPr>
        <w:shd w:val="clear" w:color="auto" w:fill="auto"/>
        <w:snapToGrid w:val="0"/>
        <w:spacing w:line="42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投标人地址：    邮编：</w:t>
      </w:r>
    </w:p>
    <w:p w14:paraId="7467CF01">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电话：         传真：</w:t>
      </w:r>
    </w:p>
    <w:p w14:paraId="54260A7F">
      <w:pPr>
        <w:shd w:val="clear" w:color="auto" w:fill="auto"/>
        <w:snapToGrid w:val="0"/>
        <w:spacing w:line="42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授权签署本资格文件人</w:t>
      </w:r>
      <w:r>
        <w:rPr>
          <w:rStyle w:val="44"/>
          <w:rFonts w:hint="eastAsia" w:ascii="宋体" w:hAnsi="宋体"/>
          <w:color w:val="auto"/>
          <w:kern w:val="0"/>
          <w:sz w:val="24"/>
          <w:szCs w:val="24"/>
          <w:highlight w:val="none"/>
        </w:rPr>
        <w:t>（投标人代表）</w:t>
      </w:r>
      <w:r>
        <w:rPr>
          <w:rStyle w:val="44"/>
          <w:rFonts w:ascii="宋体" w:hAnsi="宋体"/>
          <w:color w:val="auto"/>
          <w:kern w:val="0"/>
          <w:sz w:val="24"/>
          <w:szCs w:val="24"/>
          <w:highlight w:val="none"/>
        </w:rPr>
        <w:t>签字：</w:t>
      </w:r>
    </w:p>
    <w:p w14:paraId="2FB2B75C">
      <w:pPr>
        <w:shd w:val="clear" w:color="auto" w:fill="auto"/>
        <w:snapToGrid w:val="0"/>
        <w:spacing w:line="42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授权签署本资格文件人</w:t>
      </w:r>
      <w:r>
        <w:rPr>
          <w:rStyle w:val="44"/>
          <w:rFonts w:hint="eastAsia" w:ascii="宋体" w:hAnsi="宋体"/>
          <w:color w:val="auto"/>
          <w:kern w:val="0"/>
          <w:sz w:val="24"/>
          <w:szCs w:val="24"/>
          <w:highlight w:val="none"/>
        </w:rPr>
        <w:t>（投标人代表）</w:t>
      </w:r>
      <w:r>
        <w:rPr>
          <w:rStyle w:val="44"/>
          <w:rFonts w:ascii="宋体" w:hAnsi="宋体"/>
          <w:color w:val="auto"/>
          <w:kern w:val="0"/>
          <w:sz w:val="24"/>
          <w:szCs w:val="24"/>
          <w:highlight w:val="none"/>
        </w:rPr>
        <w:t>手机：</w:t>
      </w:r>
    </w:p>
    <w:p w14:paraId="1E9E09E7">
      <w:pPr>
        <w:shd w:val="clear" w:color="auto" w:fill="auto"/>
        <w:snapToGrid w:val="0"/>
        <w:rPr>
          <w:rStyle w:val="44"/>
          <w:rFonts w:ascii="宋体" w:hAnsi="宋体"/>
          <w:color w:val="auto"/>
          <w:kern w:val="0"/>
          <w:sz w:val="20"/>
          <w:szCs w:val="21"/>
          <w:highlight w:val="none"/>
          <w:u w:val="single" w:color="000000"/>
        </w:rPr>
      </w:pPr>
    </w:p>
    <w:p w14:paraId="1A113D83">
      <w:pPr>
        <w:shd w:val="clear" w:color="auto" w:fill="auto"/>
        <w:snapToGrid w:val="0"/>
        <w:rPr>
          <w:rStyle w:val="44"/>
          <w:rFonts w:ascii="宋体" w:hAnsi="宋体"/>
          <w:color w:val="auto"/>
          <w:kern w:val="0"/>
          <w:sz w:val="32"/>
          <w:szCs w:val="32"/>
          <w:highlight w:val="none"/>
        </w:rPr>
      </w:pPr>
    </w:p>
    <w:p w14:paraId="61E25AAA">
      <w:pPr>
        <w:shd w:val="clear" w:color="auto" w:fill="auto"/>
        <w:snapToGrid w:val="0"/>
        <w:rPr>
          <w:rStyle w:val="44"/>
          <w:rFonts w:ascii="宋体" w:hAnsi="宋体"/>
          <w:b/>
          <w:color w:val="auto"/>
          <w:kern w:val="0"/>
          <w:sz w:val="32"/>
          <w:szCs w:val="32"/>
          <w:highlight w:val="none"/>
        </w:rPr>
      </w:pPr>
    </w:p>
    <w:p w14:paraId="476A8EA4">
      <w:pPr>
        <w:shd w:val="clear" w:color="auto" w:fill="auto"/>
        <w:snapToGrid w:val="0"/>
        <w:rPr>
          <w:rStyle w:val="44"/>
          <w:rFonts w:ascii="宋体" w:hAnsi="宋体"/>
          <w:b/>
          <w:color w:val="auto"/>
          <w:kern w:val="0"/>
          <w:sz w:val="32"/>
          <w:szCs w:val="32"/>
          <w:highlight w:val="none"/>
        </w:rPr>
      </w:pPr>
    </w:p>
    <w:p w14:paraId="31B78654">
      <w:pPr>
        <w:shd w:val="clear" w:color="auto" w:fill="auto"/>
        <w:snapToGrid w:val="0"/>
        <w:rPr>
          <w:rStyle w:val="44"/>
          <w:rFonts w:ascii="宋体" w:hAnsi="宋体"/>
          <w:b/>
          <w:color w:val="auto"/>
          <w:kern w:val="0"/>
          <w:sz w:val="32"/>
          <w:szCs w:val="32"/>
          <w:highlight w:val="none"/>
        </w:rPr>
      </w:pPr>
    </w:p>
    <w:p w14:paraId="7ACF385A">
      <w:pPr>
        <w:shd w:val="clear" w:color="auto" w:fill="auto"/>
        <w:snapToGrid w:val="0"/>
        <w:rPr>
          <w:rStyle w:val="44"/>
          <w:rFonts w:ascii="宋体" w:hAnsi="宋体"/>
          <w:b/>
          <w:color w:val="auto"/>
          <w:kern w:val="0"/>
          <w:sz w:val="32"/>
          <w:szCs w:val="32"/>
          <w:highlight w:val="none"/>
        </w:rPr>
      </w:pPr>
    </w:p>
    <w:p w14:paraId="299213E3">
      <w:pPr>
        <w:shd w:val="clear" w:color="auto" w:fill="auto"/>
        <w:snapToGrid w:val="0"/>
        <w:rPr>
          <w:rStyle w:val="44"/>
          <w:rFonts w:ascii="宋体" w:hAnsi="宋体"/>
          <w:b/>
          <w:color w:val="auto"/>
          <w:kern w:val="0"/>
          <w:sz w:val="32"/>
          <w:szCs w:val="32"/>
          <w:highlight w:val="none"/>
        </w:rPr>
      </w:pPr>
    </w:p>
    <w:p w14:paraId="6F91A27C">
      <w:pPr>
        <w:shd w:val="clear" w:color="auto" w:fill="auto"/>
        <w:snapToGrid w:val="0"/>
        <w:rPr>
          <w:rStyle w:val="44"/>
          <w:rFonts w:ascii="宋体" w:hAnsi="宋体"/>
          <w:b/>
          <w:color w:val="auto"/>
          <w:kern w:val="0"/>
          <w:sz w:val="32"/>
          <w:szCs w:val="32"/>
          <w:highlight w:val="none"/>
        </w:rPr>
      </w:pPr>
    </w:p>
    <w:p w14:paraId="750EF6E8">
      <w:pPr>
        <w:shd w:val="clear" w:color="auto" w:fill="auto"/>
        <w:snapToGrid w:val="0"/>
        <w:rPr>
          <w:rStyle w:val="44"/>
          <w:rFonts w:ascii="宋体" w:hAnsi="宋体"/>
          <w:b/>
          <w:color w:val="auto"/>
          <w:kern w:val="0"/>
          <w:sz w:val="32"/>
          <w:szCs w:val="32"/>
          <w:highlight w:val="none"/>
        </w:rPr>
      </w:pPr>
    </w:p>
    <w:p w14:paraId="7D13A785">
      <w:pPr>
        <w:shd w:val="clear" w:color="auto" w:fill="auto"/>
        <w:snapToGrid w:val="0"/>
        <w:rPr>
          <w:rStyle w:val="44"/>
          <w:rFonts w:ascii="宋体" w:hAnsi="宋体"/>
          <w:b/>
          <w:color w:val="auto"/>
          <w:kern w:val="0"/>
          <w:sz w:val="32"/>
          <w:szCs w:val="32"/>
          <w:highlight w:val="none"/>
        </w:rPr>
      </w:pPr>
    </w:p>
    <w:p w14:paraId="4C2C5785">
      <w:pPr>
        <w:shd w:val="clear" w:color="auto" w:fill="auto"/>
        <w:snapToGrid w:val="0"/>
        <w:rPr>
          <w:rStyle w:val="44"/>
          <w:rFonts w:ascii="宋体" w:hAnsi="宋体"/>
          <w:b/>
          <w:color w:val="auto"/>
          <w:kern w:val="0"/>
          <w:sz w:val="32"/>
          <w:szCs w:val="32"/>
          <w:highlight w:val="none"/>
        </w:rPr>
      </w:pPr>
    </w:p>
    <w:p w14:paraId="2B62BE5F">
      <w:pPr>
        <w:shd w:val="clear" w:color="auto" w:fill="auto"/>
        <w:snapToGrid w:val="0"/>
        <w:jc w:val="center"/>
        <w:rPr>
          <w:rStyle w:val="44"/>
          <w:rFonts w:ascii="宋体" w:hAnsi="宋体"/>
          <w:b/>
          <w:color w:val="auto"/>
          <w:kern w:val="0"/>
          <w:sz w:val="32"/>
          <w:szCs w:val="32"/>
          <w:highlight w:val="none"/>
        </w:rPr>
      </w:pPr>
    </w:p>
    <w:p w14:paraId="452FE59C">
      <w:pPr>
        <w:pStyle w:val="2"/>
        <w:rPr>
          <w:color w:val="auto"/>
          <w:highlight w:val="none"/>
        </w:rPr>
      </w:pPr>
    </w:p>
    <w:p w14:paraId="5E751C77">
      <w:pPr>
        <w:shd w:val="clear" w:color="auto" w:fill="auto"/>
        <w:snapToGrid w:val="0"/>
        <w:jc w:val="center"/>
        <w:rPr>
          <w:rStyle w:val="44"/>
          <w:rFonts w:ascii="宋体" w:hAnsi="宋体"/>
          <w:b/>
          <w:color w:val="auto"/>
          <w:kern w:val="0"/>
          <w:sz w:val="32"/>
          <w:szCs w:val="32"/>
          <w:highlight w:val="none"/>
        </w:rPr>
      </w:pPr>
    </w:p>
    <w:p w14:paraId="56B098E6">
      <w:pPr>
        <w:shd w:val="clear" w:color="auto" w:fill="auto"/>
        <w:snapToGrid w:val="0"/>
        <w:jc w:val="center"/>
        <w:rPr>
          <w:rStyle w:val="44"/>
          <w:rFonts w:ascii="宋体" w:hAnsi="宋体"/>
          <w:b/>
          <w:color w:val="auto"/>
          <w:kern w:val="0"/>
          <w:sz w:val="32"/>
          <w:szCs w:val="32"/>
          <w:highlight w:val="none"/>
        </w:rPr>
      </w:pPr>
    </w:p>
    <w:p w14:paraId="02891C23">
      <w:pPr>
        <w:shd w:val="clear" w:color="auto" w:fill="auto"/>
        <w:snapToGrid w:val="0"/>
        <w:jc w:val="center"/>
        <w:rPr>
          <w:rStyle w:val="44"/>
          <w:rFonts w:ascii="宋体" w:hAnsi="宋体"/>
          <w:b/>
          <w:color w:val="auto"/>
          <w:kern w:val="0"/>
          <w:sz w:val="32"/>
          <w:szCs w:val="32"/>
          <w:highlight w:val="none"/>
        </w:rPr>
      </w:pPr>
    </w:p>
    <w:p w14:paraId="7B7C910A">
      <w:pPr>
        <w:shd w:val="clear" w:color="auto" w:fill="auto"/>
        <w:snapToGrid w:val="0"/>
        <w:jc w:val="center"/>
        <w:rPr>
          <w:rStyle w:val="44"/>
          <w:rFonts w:ascii="宋体" w:hAnsi="宋体"/>
          <w:b/>
          <w:color w:val="auto"/>
          <w:kern w:val="0"/>
          <w:sz w:val="32"/>
          <w:szCs w:val="32"/>
          <w:highlight w:val="none"/>
        </w:rPr>
      </w:pPr>
    </w:p>
    <w:p w14:paraId="0C5EE55E">
      <w:pPr>
        <w:shd w:val="clear" w:color="auto" w:fill="auto"/>
        <w:snapToGrid w:val="0"/>
        <w:jc w:val="center"/>
        <w:rPr>
          <w:rStyle w:val="44"/>
          <w:rFonts w:ascii="宋体" w:hAnsi="宋体"/>
          <w:b/>
          <w:color w:val="auto"/>
          <w:kern w:val="0"/>
          <w:sz w:val="32"/>
          <w:szCs w:val="32"/>
          <w:highlight w:val="none"/>
        </w:rPr>
      </w:pPr>
      <w:r>
        <w:rPr>
          <w:rStyle w:val="44"/>
          <w:rFonts w:ascii="宋体" w:hAnsi="宋体"/>
          <w:b/>
          <w:color w:val="auto"/>
          <w:kern w:val="0"/>
          <w:sz w:val="32"/>
          <w:szCs w:val="32"/>
          <w:highlight w:val="none"/>
        </w:rPr>
        <w:t>投标人的资格声明</w:t>
      </w:r>
    </w:p>
    <w:p w14:paraId="1270512D">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投标人概况</w:t>
      </w:r>
    </w:p>
    <w:p w14:paraId="292A53C8">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投标人名称：</w:t>
      </w:r>
    </w:p>
    <w:p w14:paraId="4E3A3FA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注册地址：</w:t>
      </w:r>
    </w:p>
    <w:p w14:paraId="6DC79482">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传真： 电话： 邮编：</w:t>
      </w:r>
    </w:p>
    <w:p w14:paraId="49B4A443">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成立或注册日期：</w:t>
      </w:r>
    </w:p>
    <w:p w14:paraId="581997EA">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法人代表：（姓名、职务）</w:t>
      </w:r>
    </w:p>
    <w:p w14:paraId="5537BCE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实收资本：</w:t>
      </w:r>
    </w:p>
    <w:p w14:paraId="3F4682AE">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其中  国家资本：   法人资本：</w:t>
      </w:r>
    </w:p>
    <w:p w14:paraId="4211C2C3">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 xml:space="preserve">      个人资本：   外商资本：</w:t>
      </w:r>
    </w:p>
    <w:p w14:paraId="196F1E1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最近资产负债表（到年月日为止）。</w:t>
      </w:r>
    </w:p>
    <w:p w14:paraId="694ED814">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固定资产合计：</w:t>
      </w:r>
    </w:p>
    <w:p w14:paraId="6A40BF5F">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流动资产合计：</w:t>
      </w:r>
    </w:p>
    <w:p w14:paraId="6B2BC008">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长期负债合计：</w:t>
      </w:r>
    </w:p>
    <w:p w14:paraId="3C0202E1">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流动负债合计：</w:t>
      </w:r>
    </w:p>
    <w:p w14:paraId="40663DF3">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最近损失表：（到年月日为止）。</w:t>
      </w:r>
    </w:p>
    <w:p w14:paraId="3CAECED7">
      <w:pPr>
        <w:shd w:val="clear" w:color="auto" w:fill="auto"/>
        <w:snapToGrid w:val="0"/>
        <w:spacing w:line="50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本年（期）利润总额累计：</w:t>
      </w:r>
    </w:p>
    <w:p w14:paraId="3A72FAA5">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本年（期）净利润累计：</w:t>
      </w:r>
    </w:p>
    <w:p w14:paraId="6668C2C3">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我方在此声明，我方具备并满足下列各项条款的规定。本声明如有虚假或不实之处，我方将失去合格投标人资格且我方的投标保证金将不予退还。</w:t>
      </w:r>
    </w:p>
    <w:p w14:paraId="33E8EEDA">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具有独立承担民事责任的能力；</w:t>
      </w:r>
    </w:p>
    <w:p w14:paraId="5EED2471">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具有良好的商业信誉和健全的财务会计制度；</w:t>
      </w:r>
    </w:p>
    <w:p w14:paraId="2CC6A1B2">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具有履行合同所必需的专业技术能力；</w:t>
      </w:r>
    </w:p>
    <w:p w14:paraId="0FD91955">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有依法缴纳税收和社会保障资金的良好记录；</w:t>
      </w:r>
    </w:p>
    <w:p w14:paraId="7A14D996">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近三年内，在经营活动中没有重大违法记录；</w:t>
      </w:r>
    </w:p>
    <w:p w14:paraId="5DB4ED9D">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投标人近年业绩清单（按招标文件要求列出）：</w:t>
      </w:r>
    </w:p>
    <w:tbl>
      <w:tblPr>
        <w:tblStyle w:val="26"/>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4"/>
        <w:gridCol w:w="1701"/>
        <w:gridCol w:w="1843"/>
        <w:gridCol w:w="1701"/>
        <w:gridCol w:w="1701"/>
      </w:tblGrid>
      <w:tr w14:paraId="4264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F5F229C">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用户名称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81A4F6A">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地址</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28227A2">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服务项目名称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5F74C39">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期限</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C014A69">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运行状况</w:t>
            </w:r>
          </w:p>
        </w:tc>
      </w:tr>
      <w:tr w14:paraId="16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37E0FE7">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F0ED42F">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40D1C3A">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3CD722">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BDE337B">
            <w:pPr>
              <w:shd w:val="clear" w:color="auto" w:fill="auto"/>
              <w:snapToGrid w:val="0"/>
              <w:spacing w:line="500" w:lineRule="exact"/>
              <w:rPr>
                <w:rStyle w:val="44"/>
                <w:rFonts w:ascii="宋体" w:hAnsi="宋体"/>
                <w:color w:val="auto"/>
                <w:sz w:val="24"/>
                <w:szCs w:val="24"/>
                <w:highlight w:val="none"/>
              </w:rPr>
            </w:pPr>
          </w:p>
        </w:tc>
      </w:tr>
      <w:tr w14:paraId="5DF3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FD34360">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D1367EB">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93CB49F">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F1A1123">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76E98A">
            <w:pPr>
              <w:shd w:val="clear" w:color="auto" w:fill="auto"/>
              <w:snapToGrid w:val="0"/>
              <w:spacing w:line="500" w:lineRule="exact"/>
              <w:rPr>
                <w:rStyle w:val="44"/>
                <w:rFonts w:ascii="宋体" w:hAnsi="宋体"/>
                <w:color w:val="auto"/>
                <w:sz w:val="24"/>
                <w:szCs w:val="24"/>
                <w:highlight w:val="none"/>
              </w:rPr>
            </w:pPr>
          </w:p>
        </w:tc>
      </w:tr>
      <w:tr w14:paraId="463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946E684">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5B50FD">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C8D165B">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7B65B1">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A892866">
            <w:pPr>
              <w:shd w:val="clear" w:color="auto" w:fill="auto"/>
              <w:snapToGrid w:val="0"/>
              <w:spacing w:line="500" w:lineRule="exact"/>
              <w:rPr>
                <w:rStyle w:val="44"/>
                <w:rFonts w:ascii="宋体" w:hAnsi="宋体"/>
                <w:color w:val="auto"/>
                <w:sz w:val="24"/>
                <w:szCs w:val="24"/>
                <w:highlight w:val="none"/>
              </w:rPr>
            </w:pPr>
          </w:p>
        </w:tc>
      </w:tr>
      <w:tr w14:paraId="5E7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8666D12">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F287B22">
            <w:pPr>
              <w:shd w:val="clear" w:color="auto" w:fill="auto"/>
              <w:snapToGrid w:val="0"/>
              <w:spacing w:line="500" w:lineRule="exact"/>
              <w:rPr>
                <w:rStyle w:val="44"/>
                <w:rFonts w:ascii="宋体" w:hAnsi="宋体"/>
                <w:color w:val="auto"/>
                <w:sz w:val="24"/>
                <w:szCs w:val="24"/>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8ABC997">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0689A13">
            <w:pPr>
              <w:shd w:val="clear" w:color="auto" w:fill="auto"/>
              <w:snapToGrid w:val="0"/>
              <w:spacing w:line="500" w:lineRule="exact"/>
              <w:rPr>
                <w:rStyle w:val="44"/>
                <w:rFonts w:ascii="宋体" w:hAnsi="宋体"/>
                <w:color w:val="auto"/>
                <w:sz w:val="24"/>
                <w:szCs w:val="24"/>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1FB3E0">
            <w:pPr>
              <w:shd w:val="clear" w:color="auto" w:fill="auto"/>
              <w:snapToGrid w:val="0"/>
              <w:spacing w:line="500" w:lineRule="exact"/>
              <w:rPr>
                <w:rStyle w:val="44"/>
                <w:rFonts w:ascii="宋体" w:hAnsi="宋体"/>
                <w:color w:val="auto"/>
                <w:sz w:val="24"/>
                <w:szCs w:val="24"/>
                <w:highlight w:val="none"/>
              </w:rPr>
            </w:pPr>
          </w:p>
        </w:tc>
      </w:tr>
    </w:tbl>
    <w:p w14:paraId="2291EE3D">
      <w:pPr>
        <w:shd w:val="clear" w:color="auto" w:fill="auto"/>
        <w:snapToGrid w:val="0"/>
        <w:spacing w:line="500" w:lineRule="exact"/>
        <w:rPr>
          <w:rStyle w:val="44"/>
          <w:rFonts w:ascii="宋体" w:hAnsi="宋体"/>
          <w:color w:val="auto"/>
          <w:sz w:val="24"/>
          <w:szCs w:val="24"/>
          <w:highlight w:val="none"/>
        </w:rPr>
      </w:pPr>
    </w:p>
    <w:p w14:paraId="53445BF1">
      <w:pPr>
        <w:shd w:val="clear" w:color="auto" w:fill="auto"/>
        <w:snapToGrid w:val="0"/>
        <w:spacing w:line="500" w:lineRule="exact"/>
        <w:rPr>
          <w:rStyle w:val="44"/>
          <w:rFonts w:ascii="宋体" w:hAnsi="宋体"/>
          <w:b/>
          <w:color w:val="auto"/>
          <w:sz w:val="24"/>
          <w:szCs w:val="24"/>
          <w:highlight w:val="none"/>
        </w:rPr>
      </w:pPr>
      <w:r>
        <w:rPr>
          <w:rStyle w:val="44"/>
          <w:rFonts w:ascii="宋体" w:hAnsi="宋体"/>
          <w:b/>
          <w:color w:val="auto"/>
          <w:sz w:val="24"/>
          <w:szCs w:val="24"/>
          <w:highlight w:val="none"/>
        </w:rPr>
        <w:t>就我方全部所知，兹证明上述声明是真实、正确的，并已提供了全部现有资料和数据，我方同意根据贵方要求出示文件予以证实。</w:t>
      </w:r>
    </w:p>
    <w:p w14:paraId="41A68B4E">
      <w:pPr>
        <w:shd w:val="clear" w:color="auto" w:fill="auto"/>
        <w:snapToGrid w:val="0"/>
        <w:spacing w:line="500" w:lineRule="exact"/>
        <w:rPr>
          <w:rStyle w:val="44"/>
          <w:rFonts w:ascii="宋体" w:hAnsi="宋体"/>
          <w:color w:val="auto"/>
          <w:sz w:val="24"/>
          <w:szCs w:val="24"/>
          <w:highlight w:val="none"/>
        </w:rPr>
      </w:pPr>
    </w:p>
    <w:p w14:paraId="0135BC84">
      <w:pPr>
        <w:shd w:val="clear" w:color="auto" w:fill="auto"/>
        <w:snapToGrid w:val="0"/>
        <w:rPr>
          <w:rStyle w:val="44"/>
          <w:rFonts w:ascii="宋体" w:hAnsi="宋体"/>
          <w:color w:val="auto"/>
          <w:sz w:val="24"/>
          <w:szCs w:val="24"/>
          <w:highlight w:val="none"/>
        </w:rPr>
      </w:pPr>
    </w:p>
    <w:p w14:paraId="13273BF6">
      <w:pPr>
        <w:shd w:val="clear" w:color="auto" w:fill="auto"/>
        <w:snapToGrid w:val="0"/>
        <w:rPr>
          <w:rStyle w:val="44"/>
          <w:rFonts w:ascii="宋体" w:hAnsi="宋体"/>
          <w:color w:val="auto"/>
          <w:sz w:val="24"/>
          <w:szCs w:val="24"/>
          <w:highlight w:val="none"/>
        </w:rPr>
      </w:pPr>
    </w:p>
    <w:p w14:paraId="33C62AC6">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投标人（全称并加盖公章）</w:t>
      </w:r>
    </w:p>
    <w:p w14:paraId="5A0DD387">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投标人代表签字：</w:t>
      </w:r>
    </w:p>
    <w:p w14:paraId="3B7723F6">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日          期：</w:t>
      </w:r>
    </w:p>
    <w:p w14:paraId="707AEEAF">
      <w:pPr>
        <w:shd w:val="clear" w:color="auto" w:fill="auto"/>
        <w:snapToGrid w:val="0"/>
        <w:rPr>
          <w:rStyle w:val="44"/>
          <w:rFonts w:ascii="宋体" w:hAnsi="宋体"/>
          <w:color w:val="auto"/>
          <w:sz w:val="24"/>
          <w:szCs w:val="24"/>
          <w:highlight w:val="none"/>
          <w:u w:val="single" w:color="000000"/>
        </w:rPr>
      </w:pPr>
      <w:r>
        <w:rPr>
          <w:rStyle w:val="44"/>
          <w:rFonts w:ascii="宋体" w:hAnsi="宋体"/>
          <w:color w:val="auto"/>
          <w:sz w:val="24"/>
          <w:szCs w:val="24"/>
          <w:highlight w:val="none"/>
        </w:rPr>
        <w:t>电   话：     传 真：</w:t>
      </w:r>
    </w:p>
    <w:p w14:paraId="45867D62">
      <w:pPr>
        <w:shd w:val="clear" w:color="auto" w:fill="auto"/>
        <w:snapToGrid w:val="0"/>
        <w:rPr>
          <w:rStyle w:val="44"/>
          <w:rFonts w:ascii="宋体" w:hAnsi="宋体"/>
          <w:color w:val="auto"/>
          <w:sz w:val="20"/>
          <w:szCs w:val="21"/>
          <w:highlight w:val="none"/>
        </w:rPr>
      </w:pPr>
    </w:p>
    <w:p w14:paraId="70C271A5">
      <w:pPr>
        <w:shd w:val="clear" w:color="auto" w:fill="auto"/>
        <w:snapToGrid w:val="0"/>
        <w:rPr>
          <w:rStyle w:val="44"/>
          <w:rFonts w:ascii="宋体" w:hAnsi="宋体"/>
          <w:color w:val="auto"/>
          <w:sz w:val="20"/>
          <w:szCs w:val="21"/>
          <w:highlight w:val="none"/>
        </w:rPr>
      </w:pPr>
    </w:p>
    <w:p w14:paraId="2FFDF828">
      <w:pPr>
        <w:shd w:val="clear" w:color="auto" w:fill="auto"/>
        <w:snapToGrid w:val="0"/>
        <w:rPr>
          <w:rStyle w:val="44"/>
          <w:rFonts w:ascii="宋体" w:hAnsi="宋体"/>
          <w:color w:val="auto"/>
          <w:sz w:val="20"/>
          <w:szCs w:val="21"/>
          <w:highlight w:val="none"/>
        </w:rPr>
      </w:pPr>
    </w:p>
    <w:p w14:paraId="22257145">
      <w:pPr>
        <w:shd w:val="clear" w:color="auto" w:fill="auto"/>
        <w:snapToGrid w:val="0"/>
        <w:rPr>
          <w:rStyle w:val="44"/>
          <w:rFonts w:ascii="宋体" w:hAnsi="宋体"/>
          <w:color w:val="auto"/>
          <w:sz w:val="20"/>
          <w:szCs w:val="21"/>
          <w:highlight w:val="none"/>
        </w:rPr>
      </w:pPr>
    </w:p>
    <w:p w14:paraId="06311BAC">
      <w:pPr>
        <w:shd w:val="clear" w:color="auto" w:fill="auto"/>
        <w:snapToGrid w:val="0"/>
        <w:rPr>
          <w:rStyle w:val="44"/>
          <w:rFonts w:ascii="宋体" w:hAnsi="宋体"/>
          <w:color w:val="auto"/>
          <w:sz w:val="20"/>
          <w:szCs w:val="21"/>
          <w:highlight w:val="none"/>
        </w:rPr>
      </w:pPr>
    </w:p>
    <w:p w14:paraId="2C742249">
      <w:pPr>
        <w:shd w:val="clear" w:color="auto" w:fill="auto"/>
        <w:snapToGrid w:val="0"/>
        <w:rPr>
          <w:rStyle w:val="44"/>
          <w:rFonts w:ascii="宋体" w:hAnsi="宋体"/>
          <w:color w:val="auto"/>
          <w:sz w:val="20"/>
          <w:szCs w:val="21"/>
          <w:highlight w:val="none"/>
        </w:rPr>
      </w:pPr>
    </w:p>
    <w:p w14:paraId="3F64730D">
      <w:pPr>
        <w:shd w:val="clear" w:color="auto" w:fill="auto"/>
        <w:snapToGrid w:val="0"/>
        <w:rPr>
          <w:rStyle w:val="44"/>
          <w:rFonts w:ascii="宋体" w:hAnsi="宋体"/>
          <w:color w:val="auto"/>
          <w:sz w:val="20"/>
          <w:szCs w:val="21"/>
          <w:highlight w:val="none"/>
        </w:rPr>
      </w:pPr>
    </w:p>
    <w:p w14:paraId="1219E6B8">
      <w:pPr>
        <w:shd w:val="clear" w:color="auto" w:fill="auto"/>
        <w:snapToGrid w:val="0"/>
        <w:rPr>
          <w:rStyle w:val="44"/>
          <w:rFonts w:ascii="宋体" w:hAnsi="宋体"/>
          <w:color w:val="auto"/>
          <w:sz w:val="20"/>
          <w:szCs w:val="21"/>
          <w:highlight w:val="none"/>
        </w:rPr>
      </w:pPr>
    </w:p>
    <w:p w14:paraId="71560915">
      <w:pPr>
        <w:shd w:val="clear" w:color="auto" w:fill="auto"/>
        <w:snapToGrid w:val="0"/>
        <w:rPr>
          <w:rStyle w:val="44"/>
          <w:rFonts w:ascii="宋体" w:hAnsi="宋体"/>
          <w:color w:val="auto"/>
          <w:sz w:val="20"/>
          <w:szCs w:val="21"/>
          <w:highlight w:val="none"/>
        </w:rPr>
      </w:pPr>
    </w:p>
    <w:p w14:paraId="356F3C6D">
      <w:pPr>
        <w:shd w:val="clear" w:color="auto" w:fill="auto"/>
        <w:snapToGrid w:val="0"/>
        <w:rPr>
          <w:rStyle w:val="44"/>
          <w:rFonts w:ascii="宋体" w:hAnsi="宋体"/>
          <w:color w:val="auto"/>
          <w:sz w:val="20"/>
          <w:szCs w:val="21"/>
          <w:highlight w:val="none"/>
        </w:rPr>
      </w:pPr>
    </w:p>
    <w:p w14:paraId="707B5F9C">
      <w:pPr>
        <w:shd w:val="clear" w:color="auto" w:fill="auto"/>
        <w:snapToGrid w:val="0"/>
        <w:rPr>
          <w:rStyle w:val="44"/>
          <w:rFonts w:ascii="宋体" w:hAnsi="宋体"/>
          <w:color w:val="auto"/>
          <w:sz w:val="20"/>
          <w:szCs w:val="21"/>
          <w:highlight w:val="none"/>
        </w:rPr>
      </w:pPr>
    </w:p>
    <w:p w14:paraId="14102706">
      <w:pPr>
        <w:shd w:val="clear" w:color="auto" w:fill="auto"/>
        <w:snapToGrid w:val="0"/>
        <w:rPr>
          <w:rStyle w:val="44"/>
          <w:rFonts w:ascii="宋体" w:hAnsi="宋体"/>
          <w:color w:val="auto"/>
          <w:sz w:val="20"/>
          <w:szCs w:val="21"/>
          <w:highlight w:val="none"/>
        </w:rPr>
      </w:pPr>
    </w:p>
    <w:p w14:paraId="0ED56C6B">
      <w:pPr>
        <w:shd w:val="clear" w:color="auto" w:fill="auto"/>
        <w:snapToGrid w:val="0"/>
        <w:rPr>
          <w:rStyle w:val="44"/>
          <w:rFonts w:ascii="宋体" w:hAnsi="宋体"/>
          <w:color w:val="auto"/>
          <w:sz w:val="20"/>
          <w:szCs w:val="21"/>
          <w:highlight w:val="none"/>
        </w:rPr>
      </w:pPr>
    </w:p>
    <w:p w14:paraId="078778E4">
      <w:pPr>
        <w:shd w:val="clear" w:color="auto" w:fill="auto"/>
        <w:snapToGrid w:val="0"/>
        <w:rPr>
          <w:rStyle w:val="44"/>
          <w:rFonts w:ascii="宋体" w:hAnsi="宋体"/>
          <w:color w:val="auto"/>
          <w:sz w:val="20"/>
          <w:szCs w:val="21"/>
          <w:highlight w:val="none"/>
        </w:rPr>
      </w:pPr>
    </w:p>
    <w:p w14:paraId="52530A58">
      <w:pPr>
        <w:shd w:val="clear" w:color="auto" w:fill="auto"/>
        <w:snapToGrid w:val="0"/>
        <w:rPr>
          <w:rStyle w:val="44"/>
          <w:rFonts w:ascii="宋体" w:hAnsi="宋体"/>
          <w:color w:val="auto"/>
          <w:sz w:val="20"/>
          <w:szCs w:val="21"/>
          <w:highlight w:val="none"/>
        </w:rPr>
      </w:pPr>
    </w:p>
    <w:p w14:paraId="49AAF485">
      <w:pPr>
        <w:shd w:val="clear" w:color="auto" w:fill="auto"/>
        <w:snapToGrid w:val="0"/>
        <w:rPr>
          <w:rStyle w:val="44"/>
          <w:rFonts w:ascii="宋体" w:hAnsi="宋体"/>
          <w:color w:val="auto"/>
          <w:sz w:val="20"/>
          <w:szCs w:val="21"/>
          <w:highlight w:val="none"/>
        </w:rPr>
      </w:pPr>
    </w:p>
    <w:p w14:paraId="2A6A1E70">
      <w:pPr>
        <w:shd w:val="clear" w:color="auto" w:fill="auto"/>
        <w:snapToGrid w:val="0"/>
        <w:rPr>
          <w:rStyle w:val="44"/>
          <w:rFonts w:ascii="宋体" w:hAnsi="宋体"/>
          <w:color w:val="auto"/>
          <w:sz w:val="20"/>
          <w:szCs w:val="21"/>
          <w:highlight w:val="none"/>
        </w:rPr>
      </w:pPr>
    </w:p>
    <w:p w14:paraId="6B2333D7">
      <w:pPr>
        <w:shd w:val="clear" w:color="auto" w:fill="auto"/>
        <w:snapToGrid w:val="0"/>
        <w:rPr>
          <w:rStyle w:val="44"/>
          <w:rFonts w:ascii="宋体" w:hAnsi="宋体"/>
          <w:color w:val="auto"/>
          <w:sz w:val="20"/>
          <w:szCs w:val="21"/>
          <w:highlight w:val="none"/>
        </w:rPr>
      </w:pPr>
    </w:p>
    <w:p w14:paraId="508A7127">
      <w:pPr>
        <w:shd w:val="clear" w:color="auto" w:fill="auto"/>
        <w:snapToGrid w:val="0"/>
        <w:rPr>
          <w:rStyle w:val="44"/>
          <w:rFonts w:ascii="宋体" w:hAnsi="宋体"/>
          <w:color w:val="auto"/>
          <w:sz w:val="20"/>
          <w:szCs w:val="21"/>
          <w:highlight w:val="none"/>
        </w:rPr>
      </w:pPr>
    </w:p>
    <w:p w14:paraId="78F2155B">
      <w:pPr>
        <w:shd w:val="clear" w:color="auto" w:fill="auto"/>
        <w:snapToGrid w:val="0"/>
        <w:rPr>
          <w:rStyle w:val="44"/>
          <w:rFonts w:ascii="宋体" w:hAnsi="宋体"/>
          <w:color w:val="auto"/>
          <w:sz w:val="20"/>
          <w:szCs w:val="21"/>
          <w:highlight w:val="none"/>
        </w:rPr>
      </w:pPr>
    </w:p>
    <w:p w14:paraId="31F51583">
      <w:pPr>
        <w:shd w:val="clear" w:color="auto" w:fill="auto"/>
        <w:snapToGrid w:val="0"/>
        <w:rPr>
          <w:rStyle w:val="44"/>
          <w:rFonts w:ascii="宋体" w:hAnsi="宋体"/>
          <w:color w:val="auto"/>
          <w:sz w:val="20"/>
          <w:szCs w:val="21"/>
          <w:highlight w:val="none"/>
        </w:rPr>
      </w:pPr>
    </w:p>
    <w:p w14:paraId="0C426F06">
      <w:pPr>
        <w:shd w:val="clear" w:color="auto" w:fill="auto"/>
        <w:snapToGrid w:val="0"/>
        <w:rPr>
          <w:rStyle w:val="44"/>
          <w:rFonts w:ascii="宋体" w:hAnsi="宋体"/>
          <w:color w:val="auto"/>
          <w:sz w:val="20"/>
          <w:szCs w:val="21"/>
          <w:highlight w:val="none"/>
        </w:rPr>
      </w:pPr>
    </w:p>
    <w:p w14:paraId="286E3917">
      <w:pPr>
        <w:shd w:val="clear" w:color="auto" w:fill="auto"/>
        <w:snapToGrid w:val="0"/>
        <w:rPr>
          <w:rStyle w:val="44"/>
          <w:rFonts w:ascii="宋体" w:hAnsi="宋体"/>
          <w:color w:val="auto"/>
          <w:sz w:val="20"/>
          <w:szCs w:val="21"/>
          <w:highlight w:val="none"/>
        </w:rPr>
      </w:pPr>
    </w:p>
    <w:p w14:paraId="20E19C65">
      <w:pPr>
        <w:shd w:val="clear" w:color="auto" w:fill="auto"/>
        <w:snapToGrid w:val="0"/>
        <w:rPr>
          <w:rStyle w:val="44"/>
          <w:rFonts w:ascii="宋体" w:hAnsi="宋体"/>
          <w:color w:val="auto"/>
          <w:sz w:val="20"/>
          <w:szCs w:val="21"/>
          <w:highlight w:val="none"/>
        </w:rPr>
      </w:pPr>
    </w:p>
    <w:p w14:paraId="1112F2F3">
      <w:pPr>
        <w:shd w:val="clear" w:color="auto" w:fill="auto"/>
        <w:snapToGrid w:val="0"/>
        <w:rPr>
          <w:rStyle w:val="44"/>
          <w:rFonts w:ascii="宋体" w:hAnsi="宋体"/>
          <w:color w:val="auto"/>
          <w:szCs w:val="21"/>
          <w:highlight w:val="none"/>
        </w:rPr>
      </w:pPr>
    </w:p>
    <w:p w14:paraId="41FA392E">
      <w:pPr>
        <w:shd w:val="clear" w:color="auto" w:fill="auto"/>
        <w:snapToGrid w:val="0"/>
        <w:rPr>
          <w:rStyle w:val="44"/>
          <w:rFonts w:ascii="宋体" w:hAnsi="宋体"/>
          <w:color w:val="auto"/>
          <w:szCs w:val="21"/>
          <w:highlight w:val="none"/>
        </w:rPr>
      </w:pPr>
    </w:p>
    <w:p w14:paraId="167385CB">
      <w:pPr>
        <w:shd w:val="clear" w:color="auto" w:fill="auto"/>
        <w:snapToGrid w:val="0"/>
        <w:rPr>
          <w:rStyle w:val="44"/>
          <w:rFonts w:ascii="宋体" w:hAnsi="宋体"/>
          <w:color w:val="auto"/>
          <w:szCs w:val="21"/>
          <w:highlight w:val="none"/>
        </w:rPr>
      </w:pPr>
    </w:p>
    <w:p w14:paraId="0BB07327">
      <w:pPr>
        <w:shd w:val="clear" w:color="auto" w:fill="auto"/>
        <w:snapToGrid w:val="0"/>
        <w:rPr>
          <w:rStyle w:val="44"/>
          <w:rFonts w:ascii="宋体" w:hAnsi="宋体"/>
          <w:color w:val="auto"/>
          <w:szCs w:val="21"/>
          <w:highlight w:val="none"/>
        </w:rPr>
      </w:pPr>
    </w:p>
    <w:p w14:paraId="79F8C870">
      <w:pPr>
        <w:shd w:val="clear" w:color="auto" w:fill="auto"/>
        <w:snapToGrid w:val="0"/>
        <w:rPr>
          <w:rStyle w:val="44"/>
          <w:rFonts w:ascii="宋体" w:hAnsi="宋体"/>
          <w:color w:val="auto"/>
          <w:szCs w:val="21"/>
          <w:highlight w:val="none"/>
        </w:rPr>
      </w:pPr>
    </w:p>
    <w:p w14:paraId="757532D1">
      <w:pPr>
        <w:shd w:val="clear" w:color="auto" w:fill="auto"/>
        <w:snapToGrid w:val="0"/>
        <w:rPr>
          <w:rStyle w:val="44"/>
          <w:rFonts w:ascii="宋体" w:hAnsi="宋体"/>
          <w:color w:val="auto"/>
          <w:szCs w:val="21"/>
          <w:highlight w:val="none"/>
        </w:rPr>
      </w:pPr>
    </w:p>
    <w:p w14:paraId="7F4020BE">
      <w:pPr>
        <w:shd w:val="clear" w:color="auto" w:fill="auto"/>
        <w:snapToGrid w:val="0"/>
        <w:rPr>
          <w:rStyle w:val="44"/>
          <w:rFonts w:ascii="宋体" w:hAnsi="宋体"/>
          <w:color w:val="auto"/>
          <w:szCs w:val="21"/>
          <w:highlight w:val="none"/>
        </w:rPr>
      </w:pPr>
    </w:p>
    <w:p w14:paraId="25683BBA">
      <w:pPr>
        <w:shd w:val="clear" w:color="auto" w:fill="auto"/>
        <w:snapToGrid w:val="0"/>
        <w:rPr>
          <w:rStyle w:val="44"/>
          <w:rFonts w:ascii="宋体" w:hAnsi="宋体"/>
          <w:color w:val="auto"/>
          <w:szCs w:val="21"/>
          <w:highlight w:val="none"/>
        </w:rPr>
      </w:pPr>
    </w:p>
    <w:p w14:paraId="32F7B548">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附件4-2</w:t>
      </w:r>
    </w:p>
    <w:p w14:paraId="4C30AE97">
      <w:pPr>
        <w:shd w:val="clear" w:color="auto" w:fill="auto"/>
        <w:snapToGrid w:val="0"/>
        <w:jc w:val="center"/>
        <w:rPr>
          <w:rStyle w:val="44"/>
          <w:rFonts w:ascii="宋体" w:hAnsi="宋体"/>
          <w:b/>
          <w:color w:val="auto"/>
          <w:sz w:val="32"/>
          <w:szCs w:val="32"/>
          <w:highlight w:val="none"/>
        </w:rPr>
      </w:pPr>
      <w:r>
        <w:rPr>
          <w:rStyle w:val="44"/>
          <w:rFonts w:ascii="宋体" w:hAnsi="宋体"/>
          <w:b/>
          <w:color w:val="auto"/>
          <w:sz w:val="32"/>
          <w:szCs w:val="32"/>
          <w:highlight w:val="none"/>
        </w:rPr>
        <w:t>法定代表人授权书</w:t>
      </w:r>
    </w:p>
    <w:p w14:paraId="4CA960E5">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01A6841A">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u w:val="single" w:color="000000"/>
        </w:rPr>
        <w:t xml:space="preserve">    （投标人全称）    </w:t>
      </w:r>
      <w:r>
        <w:rPr>
          <w:rStyle w:val="44"/>
          <w:rFonts w:ascii="宋体" w:hAnsi="宋体"/>
          <w:color w:val="auto"/>
          <w:sz w:val="24"/>
          <w:szCs w:val="24"/>
          <w:highlight w:val="none"/>
        </w:rPr>
        <w:t>法定代表人授权</w:t>
      </w:r>
      <w:r>
        <w:rPr>
          <w:rStyle w:val="44"/>
          <w:rFonts w:ascii="宋体" w:hAnsi="宋体"/>
          <w:color w:val="auto"/>
          <w:sz w:val="24"/>
          <w:szCs w:val="24"/>
          <w:highlight w:val="none"/>
          <w:u w:val="single" w:color="000000"/>
        </w:rPr>
        <w:t xml:space="preserve"> （投标人代表姓名） </w:t>
      </w:r>
      <w:r>
        <w:rPr>
          <w:rStyle w:val="44"/>
          <w:rFonts w:ascii="宋体" w:hAnsi="宋体"/>
          <w:color w:val="auto"/>
          <w:sz w:val="24"/>
          <w:szCs w:val="24"/>
          <w:highlight w:val="none"/>
        </w:rPr>
        <w:t>为投标人代表，代表本公司参加贵司组织的项目（招标编号：）的招标活动，全权代表本公司处理投标过程的一切事宜，包括但不限于：投标、参与开标、签约等。投标人代表在投标过程中所签署的一切文件和处理与之有关的一切事务，本公司予以认可并对此承担责任。投标人代表无转委托权。特此授权。</w:t>
      </w:r>
    </w:p>
    <w:p w14:paraId="0896868A">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本授权书自出具之日起生效。</w:t>
      </w:r>
    </w:p>
    <w:p w14:paraId="06D93DB8">
      <w:pPr>
        <w:shd w:val="clear" w:color="auto" w:fill="auto"/>
        <w:snapToGrid w:val="0"/>
        <w:spacing w:line="480" w:lineRule="exact"/>
        <w:rPr>
          <w:rStyle w:val="44"/>
          <w:rFonts w:ascii="宋体" w:hAnsi="宋体"/>
          <w:color w:val="auto"/>
          <w:sz w:val="24"/>
          <w:szCs w:val="24"/>
          <w:highlight w:val="none"/>
        </w:rPr>
      </w:pPr>
    </w:p>
    <w:p w14:paraId="674B17AD">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投标人代表：        性  别：</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  身份证号：</w:t>
      </w:r>
    </w:p>
    <w:p w14:paraId="3384AA70">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单位：</w:t>
      </w:r>
      <w:r>
        <w:rPr>
          <w:rStyle w:val="44"/>
          <w:rFonts w:ascii="宋体" w:hAnsi="宋体"/>
          <w:color w:val="auto"/>
          <w:sz w:val="24"/>
          <w:szCs w:val="24"/>
          <w:highlight w:val="none"/>
          <w:u w:val="single" w:color="000000"/>
        </w:rPr>
        <w:t xml:space="preserve">                          </w:t>
      </w:r>
      <w:r>
        <w:rPr>
          <w:rStyle w:val="44"/>
          <w:rFonts w:ascii="宋体" w:hAnsi="宋体"/>
          <w:color w:val="auto"/>
          <w:sz w:val="24"/>
          <w:szCs w:val="24"/>
          <w:highlight w:val="none"/>
        </w:rPr>
        <w:t xml:space="preserve">       部  门：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 职   务：</w:t>
      </w:r>
    </w:p>
    <w:p w14:paraId="0ED7A6C4">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详细通讯地址：</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电话：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 xml:space="preserve">传真： </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邮政编码：</w:t>
      </w:r>
    </w:p>
    <w:p w14:paraId="3F625215">
      <w:pPr>
        <w:shd w:val="clear" w:color="auto" w:fill="auto"/>
        <w:snapToGrid w:val="0"/>
        <w:spacing w:line="480" w:lineRule="exact"/>
        <w:rPr>
          <w:rStyle w:val="44"/>
          <w:rFonts w:ascii="宋体" w:hAnsi="宋体"/>
          <w:color w:val="auto"/>
          <w:sz w:val="24"/>
          <w:szCs w:val="24"/>
          <w:highlight w:val="none"/>
          <w:u w:val="single" w:color="000000"/>
        </w:rPr>
      </w:pPr>
    </w:p>
    <w:p w14:paraId="705100E1">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授权方：</w:t>
      </w:r>
    </w:p>
    <w:p w14:paraId="34728DC4">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w:t>
      </w:r>
      <w:r>
        <w:rPr>
          <w:rStyle w:val="44"/>
          <w:rFonts w:ascii="宋体" w:hAnsi="宋体"/>
          <w:color w:val="auto"/>
          <w:sz w:val="24"/>
          <w:szCs w:val="24"/>
          <w:highlight w:val="none"/>
          <w:u w:val="single" w:color="000000"/>
        </w:rPr>
        <w:t xml:space="preserve">       （全称并加盖公章）    </w:t>
      </w:r>
    </w:p>
    <w:p w14:paraId="4C5FABC0">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法定代表人签字：</w:t>
      </w:r>
    </w:p>
    <w:p w14:paraId="209FB758">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日  期：</w:t>
      </w:r>
    </w:p>
    <w:p w14:paraId="374B5AD6">
      <w:pPr>
        <w:shd w:val="clear" w:color="auto" w:fill="auto"/>
        <w:snapToGrid w:val="0"/>
        <w:spacing w:line="480" w:lineRule="exact"/>
        <w:rPr>
          <w:rStyle w:val="44"/>
          <w:rFonts w:ascii="宋体" w:hAnsi="宋体"/>
          <w:color w:val="auto"/>
          <w:sz w:val="24"/>
          <w:szCs w:val="24"/>
          <w:highlight w:val="none"/>
          <w:u w:val="single" w:color="000000"/>
        </w:rPr>
      </w:pPr>
    </w:p>
    <w:p w14:paraId="38ECE415">
      <w:pPr>
        <w:shd w:val="clear" w:color="auto" w:fill="auto"/>
        <w:snapToGrid w:val="0"/>
        <w:spacing w:line="480" w:lineRule="exact"/>
        <w:rPr>
          <w:rStyle w:val="44"/>
          <w:rFonts w:ascii="宋体" w:hAnsi="宋体"/>
          <w:color w:val="auto"/>
          <w:sz w:val="24"/>
          <w:szCs w:val="24"/>
          <w:highlight w:val="none"/>
          <w:u w:val="single" w:color="000000"/>
        </w:rPr>
      </w:pPr>
    </w:p>
    <w:p w14:paraId="58CFF8A5">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被授权方：</w:t>
      </w:r>
    </w:p>
    <w:p w14:paraId="63605FA7">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投标代表人签字：</w:t>
      </w:r>
    </w:p>
    <w:p w14:paraId="5C092078">
      <w:pPr>
        <w:shd w:val="clear" w:color="auto" w:fill="auto"/>
        <w:snapToGrid w:val="0"/>
        <w:spacing w:line="480" w:lineRule="exact"/>
        <w:rPr>
          <w:rStyle w:val="44"/>
          <w:rFonts w:ascii="宋体" w:hAnsi="宋体"/>
          <w:color w:val="auto"/>
          <w:sz w:val="24"/>
          <w:szCs w:val="24"/>
          <w:highlight w:val="none"/>
          <w:u w:val="single" w:color="000000"/>
        </w:rPr>
      </w:pPr>
      <w:r>
        <w:rPr>
          <w:rStyle w:val="44"/>
          <w:rFonts w:ascii="宋体" w:hAnsi="宋体"/>
          <w:color w:val="auto"/>
          <w:sz w:val="24"/>
          <w:szCs w:val="24"/>
          <w:highlight w:val="none"/>
        </w:rPr>
        <w:t>日  期：</w:t>
      </w:r>
    </w:p>
    <w:p w14:paraId="4EA0FC14">
      <w:pPr>
        <w:shd w:val="clear" w:color="auto" w:fill="auto"/>
        <w:snapToGrid w:val="0"/>
        <w:rPr>
          <w:rStyle w:val="44"/>
          <w:rFonts w:ascii="宋体" w:hAnsi="宋体"/>
          <w:color w:val="auto"/>
          <w:sz w:val="20"/>
          <w:szCs w:val="21"/>
          <w:highlight w:val="none"/>
        </w:rPr>
      </w:pPr>
    </w:p>
    <w:p w14:paraId="5DE6DDEE">
      <w:pPr>
        <w:shd w:val="clear" w:color="auto" w:fill="auto"/>
        <w:snapToGrid w:val="0"/>
        <w:rPr>
          <w:rStyle w:val="44"/>
          <w:rFonts w:ascii="宋体" w:hAnsi="宋体"/>
          <w:color w:val="auto"/>
          <w:sz w:val="20"/>
          <w:szCs w:val="21"/>
          <w:highlight w:val="none"/>
        </w:rPr>
      </w:pPr>
    </w:p>
    <w:p w14:paraId="068ED255">
      <w:pPr>
        <w:shd w:val="clear" w:color="auto" w:fill="auto"/>
        <w:snapToGrid w:val="0"/>
        <w:rPr>
          <w:rStyle w:val="44"/>
          <w:rFonts w:ascii="宋体" w:hAnsi="宋体"/>
          <w:color w:val="auto"/>
          <w:sz w:val="20"/>
          <w:szCs w:val="21"/>
          <w:highlight w:val="none"/>
        </w:rPr>
      </w:pPr>
    </w:p>
    <w:p w14:paraId="4FB26777">
      <w:pPr>
        <w:shd w:val="clear" w:color="auto" w:fill="auto"/>
        <w:snapToGrid w:val="0"/>
        <w:rPr>
          <w:rStyle w:val="44"/>
          <w:rFonts w:ascii="宋体" w:hAnsi="宋体"/>
          <w:color w:val="auto"/>
          <w:sz w:val="20"/>
          <w:szCs w:val="21"/>
          <w:highlight w:val="none"/>
        </w:rPr>
      </w:pPr>
    </w:p>
    <w:p w14:paraId="6E59F3D0">
      <w:pPr>
        <w:shd w:val="clear" w:color="auto" w:fill="auto"/>
        <w:snapToGrid w:val="0"/>
        <w:rPr>
          <w:rStyle w:val="44"/>
          <w:rFonts w:ascii="宋体" w:hAnsi="宋体"/>
          <w:color w:val="auto"/>
          <w:sz w:val="20"/>
          <w:szCs w:val="21"/>
          <w:highlight w:val="none"/>
        </w:rPr>
      </w:pPr>
    </w:p>
    <w:p w14:paraId="3AA8773F">
      <w:pPr>
        <w:shd w:val="clear" w:color="auto" w:fill="auto"/>
        <w:snapToGrid w:val="0"/>
        <w:rPr>
          <w:rStyle w:val="44"/>
          <w:rFonts w:ascii="宋体" w:hAnsi="宋体"/>
          <w:color w:val="auto"/>
          <w:sz w:val="20"/>
          <w:szCs w:val="21"/>
          <w:highlight w:val="none"/>
        </w:rPr>
      </w:pPr>
    </w:p>
    <w:p w14:paraId="12BC9ED9">
      <w:pPr>
        <w:shd w:val="clear" w:color="auto" w:fill="auto"/>
        <w:snapToGrid w:val="0"/>
        <w:spacing w:line="480" w:lineRule="exact"/>
        <w:rPr>
          <w:rStyle w:val="44"/>
          <w:rFonts w:ascii="宋体" w:hAnsi="宋体"/>
          <w:b/>
          <w:color w:val="auto"/>
          <w:sz w:val="24"/>
          <w:szCs w:val="24"/>
          <w:highlight w:val="none"/>
        </w:rPr>
      </w:pPr>
      <w:r>
        <w:rPr>
          <w:rStyle w:val="44"/>
          <w:rFonts w:ascii="宋体" w:hAnsi="宋体"/>
          <w:b/>
          <w:color w:val="auto"/>
          <w:sz w:val="24"/>
          <w:szCs w:val="24"/>
          <w:highlight w:val="none"/>
        </w:rPr>
        <w:t>附：法定代表人及被授权人身份证复印件</w:t>
      </w:r>
      <w:r>
        <w:rPr>
          <w:rStyle w:val="44"/>
          <w:rFonts w:ascii="宋体" w:hAnsi="宋体"/>
          <w:b/>
          <w:color w:val="auto"/>
          <w:sz w:val="24"/>
          <w:szCs w:val="24"/>
          <w:highlight w:val="none"/>
          <w:u w:val="single"/>
        </w:rPr>
        <w:t>（须提供身份证复印件双面）</w:t>
      </w:r>
    </w:p>
    <w:p w14:paraId="5ED67D6A">
      <w:pPr>
        <w:shd w:val="clear" w:color="auto" w:fill="auto"/>
        <w:snapToGrid w:val="0"/>
        <w:rPr>
          <w:rStyle w:val="44"/>
          <w:rFonts w:ascii="宋体" w:hAnsi="宋体"/>
          <w:color w:val="auto"/>
          <w:sz w:val="20"/>
          <w:szCs w:val="21"/>
          <w:highlight w:val="none"/>
        </w:rPr>
      </w:pPr>
    </w:p>
    <w:p w14:paraId="51D7CF60">
      <w:pPr>
        <w:shd w:val="clear" w:color="auto" w:fill="auto"/>
        <w:snapToGrid w:val="0"/>
        <w:rPr>
          <w:rStyle w:val="44"/>
          <w:rFonts w:ascii="宋体" w:hAnsi="宋体"/>
          <w:color w:val="auto"/>
          <w:szCs w:val="21"/>
          <w:highlight w:val="none"/>
        </w:rPr>
      </w:pPr>
    </w:p>
    <w:p w14:paraId="06EB1F38">
      <w:pPr>
        <w:shd w:val="clear" w:color="auto" w:fill="auto"/>
        <w:snapToGrid w:val="0"/>
        <w:rPr>
          <w:rStyle w:val="44"/>
          <w:rFonts w:ascii="宋体" w:hAnsi="宋体"/>
          <w:color w:val="auto"/>
          <w:szCs w:val="21"/>
          <w:highlight w:val="none"/>
        </w:rPr>
      </w:pPr>
    </w:p>
    <w:p w14:paraId="70B9CBD7">
      <w:pPr>
        <w:shd w:val="clear" w:color="auto" w:fill="auto"/>
        <w:snapToGrid w:val="0"/>
        <w:rPr>
          <w:rStyle w:val="44"/>
          <w:rFonts w:ascii="宋体" w:hAnsi="宋体"/>
          <w:color w:val="auto"/>
          <w:szCs w:val="21"/>
          <w:highlight w:val="none"/>
        </w:rPr>
      </w:pPr>
    </w:p>
    <w:p w14:paraId="6FDE4273">
      <w:pPr>
        <w:shd w:val="clear" w:color="auto" w:fill="auto"/>
        <w:snapToGrid w:val="0"/>
        <w:rPr>
          <w:rStyle w:val="44"/>
          <w:rFonts w:ascii="宋体" w:hAnsi="宋体"/>
          <w:color w:val="auto"/>
          <w:sz w:val="20"/>
          <w:szCs w:val="21"/>
          <w:highlight w:val="none"/>
          <w:u w:val="single" w:color="000000"/>
        </w:rPr>
      </w:pPr>
      <w:r>
        <w:rPr>
          <w:rStyle w:val="44"/>
          <w:rFonts w:ascii="宋体" w:hAnsi="宋体"/>
          <w:color w:val="auto"/>
          <w:szCs w:val="21"/>
          <w:highlight w:val="none"/>
        </w:rPr>
        <w:t>附件4-3</w:t>
      </w:r>
    </w:p>
    <w:p w14:paraId="7ED28006">
      <w:pPr>
        <w:shd w:val="clear" w:color="auto" w:fill="auto"/>
        <w:snapToGrid w:val="0"/>
        <w:rPr>
          <w:rStyle w:val="44"/>
          <w:b/>
          <w:color w:val="auto"/>
          <w:sz w:val="20"/>
          <w:highlight w:val="none"/>
        </w:rPr>
      </w:pPr>
    </w:p>
    <w:p w14:paraId="745D7B73">
      <w:pPr>
        <w:shd w:val="clear" w:color="auto" w:fill="auto"/>
        <w:snapToGrid w:val="0"/>
        <w:jc w:val="center"/>
        <w:rPr>
          <w:rStyle w:val="44"/>
          <w:b/>
          <w:color w:val="auto"/>
          <w:sz w:val="32"/>
          <w:szCs w:val="32"/>
          <w:highlight w:val="none"/>
        </w:rPr>
      </w:pPr>
      <w:r>
        <w:rPr>
          <w:rStyle w:val="44"/>
          <w:b/>
          <w:color w:val="auto"/>
          <w:sz w:val="32"/>
          <w:szCs w:val="32"/>
          <w:highlight w:val="none"/>
        </w:rPr>
        <w:t>法人营业执照、税务登记证（或三证合一的营业执照）</w:t>
      </w:r>
    </w:p>
    <w:p w14:paraId="5A56398A">
      <w:pPr>
        <w:shd w:val="clear" w:color="auto" w:fill="auto"/>
        <w:snapToGrid w:val="0"/>
        <w:rPr>
          <w:rStyle w:val="44"/>
          <w:color w:val="auto"/>
          <w:sz w:val="20"/>
          <w:highlight w:val="none"/>
        </w:rPr>
      </w:pPr>
    </w:p>
    <w:p w14:paraId="32DA07B0">
      <w:pPr>
        <w:shd w:val="clear" w:color="auto" w:fill="auto"/>
        <w:snapToGrid w:val="0"/>
        <w:rPr>
          <w:rStyle w:val="44"/>
          <w:b/>
          <w:color w:val="auto"/>
          <w:sz w:val="20"/>
          <w:highlight w:val="none"/>
        </w:rPr>
      </w:pPr>
    </w:p>
    <w:p w14:paraId="785C9D0C">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致：</w:t>
      </w:r>
      <w:r>
        <w:rPr>
          <w:rStyle w:val="44"/>
          <w:rFonts w:hint="eastAsia" w:ascii="宋体" w:hAnsi="宋体"/>
          <w:bCs/>
          <w:color w:val="auto"/>
          <w:sz w:val="24"/>
          <w:szCs w:val="24"/>
          <w:highlight w:val="none"/>
        </w:rPr>
        <w:t>福建方兴</w:t>
      </w:r>
      <w:r>
        <w:rPr>
          <w:rStyle w:val="44"/>
          <w:color w:val="auto"/>
          <w:kern w:val="0"/>
          <w:sz w:val="24"/>
          <w:szCs w:val="24"/>
          <w:highlight w:val="none"/>
        </w:rPr>
        <w:t>招标代理有限公司：</w:t>
      </w:r>
    </w:p>
    <w:p w14:paraId="6BD0F678">
      <w:pPr>
        <w:shd w:val="clear" w:color="auto" w:fill="auto"/>
        <w:snapToGrid w:val="0"/>
        <w:spacing w:line="50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现附上由</w:t>
      </w:r>
      <w:r>
        <w:rPr>
          <w:rStyle w:val="44"/>
          <w:rFonts w:hint="eastAsia" w:ascii="宋体" w:hAnsi="宋体"/>
          <w:color w:val="auto"/>
          <w:sz w:val="24"/>
          <w:szCs w:val="24"/>
          <w:highlight w:val="none"/>
          <w:u w:val="single"/>
        </w:rPr>
        <w:t xml:space="preserve">           </w:t>
      </w:r>
      <w:r>
        <w:rPr>
          <w:rStyle w:val="44"/>
          <w:rFonts w:ascii="宋体" w:hAnsi="宋体"/>
          <w:color w:val="auto"/>
          <w:sz w:val="24"/>
          <w:szCs w:val="24"/>
          <w:highlight w:val="none"/>
        </w:rPr>
        <w:t>（签发机关名称）签发的我方法人营业执照副本复印件，该执照真实有效。</w:t>
      </w:r>
    </w:p>
    <w:p w14:paraId="483E98C8">
      <w:pPr>
        <w:shd w:val="clear" w:color="auto" w:fill="auto"/>
        <w:snapToGrid w:val="0"/>
        <w:spacing w:line="500" w:lineRule="exact"/>
        <w:ind w:firstLine="360" w:firstLineChars="150"/>
        <w:rPr>
          <w:rStyle w:val="44"/>
          <w:rFonts w:ascii="宋体" w:hAnsi="宋体"/>
          <w:color w:val="auto"/>
          <w:sz w:val="24"/>
          <w:szCs w:val="24"/>
          <w:highlight w:val="none"/>
        </w:rPr>
      </w:pPr>
      <w:r>
        <w:rPr>
          <w:rStyle w:val="44"/>
          <w:rFonts w:ascii="宋体" w:hAnsi="宋体"/>
          <w:color w:val="auto"/>
          <w:sz w:val="24"/>
          <w:szCs w:val="24"/>
          <w:highlight w:val="none"/>
        </w:rPr>
        <w:t>现附上由</w:t>
      </w:r>
      <w:r>
        <w:rPr>
          <w:rStyle w:val="44"/>
          <w:rFonts w:hint="eastAsia" w:ascii="宋体" w:hAnsi="宋体"/>
          <w:color w:val="auto"/>
          <w:sz w:val="24"/>
          <w:szCs w:val="24"/>
          <w:highlight w:val="none"/>
          <w:u w:val="single"/>
        </w:rPr>
        <w:t xml:space="preserve">           </w:t>
      </w:r>
      <w:r>
        <w:rPr>
          <w:rStyle w:val="44"/>
          <w:rFonts w:ascii="宋体" w:hAnsi="宋体"/>
          <w:color w:val="auto"/>
          <w:sz w:val="24"/>
          <w:szCs w:val="24"/>
          <w:highlight w:val="none"/>
        </w:rPr>
        <w:t>（签发机关名称）签发的我方税务登记证副本复印件，该证真实有效。</w:t>
      </w:r>
    </w:p>
    <w:p w14:paraId="13216522">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（注：法人营业执照、税务登记证或三证合一提供复印件，需复印包括能说明合格的内容，由企业加盖公章并注明复印件与原件一致。）</w:t>
      </w:r>
    </w:p>
    <w:p w14:paraId="7E5E9AA8">
      <w:pPr>
        <w:shd w:val="clear" w:color="auto" w:fill="auto"/>
        <w:snapToGrid w:val="0"/>
        <w:spacing w:line="500" w:lineRule="exact"/>
        <w:rPr>
          <w:rStyle w:val="44"/>
          <w:color w:val="auto"/>
          <w:kern w:val="0"/>
          <w:sz w:val="24"/>
          <w:szCs w:val="24"/>
          <w:highlight w:val="none"/>
        </w:rPr>
      </w:pPr>
    </w:p>
    <w:p w14:paraId="5DE6DD30">
      <w:pPr>
        <w:shd w:val="clear" w:color="auto" w:fill="auto"/>
        <w:snapToGrid w:val="0"/>
        <w:spacing w:line="500" w:lineRule="exact"/>
        <w:rPr>
          <w:rStyle w:val="44"/>
          <w:color w:val="auto"/>
          <w:kern w:val="0"/>
          <w:sz w:val="24"/>
          <w:szCs w:val="24"/>
          <w:highlight w:val="none"/>
        </w:rPr>
      </w:pPr>
    </w:p>
    <w:p w14:paraId="026EDA48">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5EBC21D2">
      <w:pPr>
        <w:shd w:val="clear" w:color="auto" w:fill="auto"/>
        <w:snapToGrid w:val="0"/>
        <w:spacing w:line="500" w:lineRule="exact"/>
        <w:rPr>
          <w:rStyle w:val="44"/>
          <w:color w:val="auto"/>
          <w:kern w:val="0"/>
          <w:sz w:val="24"/>
          <w:szCs w:val="24"/>
          <w:highlight w:val="none"/>
        </w:rPr>
      </w:pPr>
      <w:r>
        <w:rPr>
          <w:rStyle w:val="44"/>
          <w:color w:val="auto"/>
          <w:kern w:val="0"/>
          <w:sz w:val="24"/>
          <w:szCs w:val="24"/>
          <w:highlight w:val="none"/>
        </w:rPr>
        <w:t>投标人代表（签字）：</w:t>
      </w:r>
    </w:p>
    <w:p w14:paraId="264E88E2">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日              期：</w:t>
      </w:r>
    </w:p>
    <w:p w14:paraId="01A28BD6">
      <w:pPr>
        <w:shd w:val="clear" w:color="auto" w:fill="auto"/>
        <w:snapToGrid w:val="0"/>
        <w:rPr>
          <w:rStyle w:val="44"/>
          <w:rFonts w:ascii="宋体" w:hAnsi="宋体"/>
          <w:color w:val="auto"/>
          <w:sz w:val="20"/>
          <w:szCs w:val="21"/>
          <w:highlight w:val="none"/>
          <w:u w:val="dotted" w:color="000000"/>
        </w:rPr>
      </w:pPr>
    </w:p>
    <w:p w14:paraId="05B32CEB">
      <w:pPr>
        <w:shd w:val="clear" w:color="auto" w:fill="auto"/>
        <w:snapToGrid w:val="0"/>
        <w:rPr>
          <w:rStyle w:val="44"/>
          <w:rFonts w:ascii="宋体" w:hAnsi="宋体"/>
          <w:color w:val="auto"/>
          <w:sz w:val="20"/>
          <w:szCs w:val="21"/>
          <w:highlight w:val="none"/>
          <w:u w:val="dotted" w:color="000000"/>
        </w:rPr>
      </w:pPr>
    </w:p>
    <w:p w14:paraId="4EF19393">
      <w:pPr>
        <w:shd w:val="clear" w:color="auto" w:fill="auto"/>
        <w:snapToGrid w:val="0"/>
        <w:rPr>
          <w:rStyle w:val="44"/>
          <w:rFonts w:ascii="宋体" w:hAnsi="宋体"/>
          <w:color w:val="auto"/>
          <w:sz w:val="20"/>
          <w:szCs w:val="21"/>
          <w:highlight w:val="none"/>
          <w:u w:val="dotted" w:color="000000"/>
        </w:rPr>
      </w:pPr>
    </w:p>
    <w:p w14:paraId="2A2B8E41">
      <w:pPr>
        <w:shd w:val="clear" w:color="auto" w:fill="auto"/>
        <w:snapToGrid w:val="0"/>
        <w:rPr>
          <w:rStyle w:val="44"/>
          <w:rFonts w:ascii="宋体" w:hAnsi="宋体"/>
          <w:color w:val="auto"/>
          <w:sz w:val="20"/>
          <w:szCs w:val="21"/>
          <w:highlight w:val="none"/>
          <w:u w:val="dotted" w:color="000000"/>
        </w:rPr>
      </w:pPr>
    </w:p>
    <w:p w14:paraId="3F00772B">
      <w:pPr>
        <w:shd w:val="clear" w:color="auto" w:fill="auto"/>
        <w:snapToGrid w:val="0"/>
        <w:rPr>
          <w:rStyle w:val="44"/>
          <w:rFonts w:ascii="宋体" w:hAnsi="宋体"/>
          <w:color w:val="auto"/>
          <w:sz w:val="20"/>
          <w:szCs w:val="21"/>
          <w:highlight w:val="none"/>
          <w:u w:val="dotted" w:color="000000"/>
        </w:rPr>
      </w:pPr>
    </w:p>
    <w:p w14:paraId="6C7B1D5C">
      <w:pPr>
        <w:shd w:val="clear" w:color="auto" w:fill="auto"/>
        <w:snapToGrid w:val="0"/>
        <w:rPr>
          <w:rStyle w:val="44"/>
          <w:rFonts w:ascii="宋体" w:hAnsi="宋体"/>
          <w:color w:val="auto"/>
          <w:sz w:val="20"/>
          <w:szCs w:val="21"/>
          <w:highlight w:val="none"/>
          <w:u w:val="dotted" w:color="000000"/>
        </w:rPr>
      </w:pPr>
    </w:p>
    <w:p w14:paraId="1AA3A35A">
      <w:pPr>
        <w:shd w:val="clear" w:color="auto" w:fill="auto"/>
        <w:snapToGrid w:val="0"/>
        <w:rPr>
          <w:rStyle w:val="44"/>
          <w:rFonts w:ascii="宋体" w:hAnsi="宋体"/>
          <w:color w:val="auto"/>
          <w:sz w:val="20"/>
          <w:szCs w:val="21"/>
          <w:highlight w:val="none"/>
          <w:u w:val="dotted" w:color="000000"/>
        </w:rPr>
      </w:pPr>
    </w:p>
    <w:p w14:paraId="125C7039">
      <w:pPr>
        <w:shd w:val="clear" w:color="auto" w:fill="auto"/>
        <w:snapToGrid w:val="0"/>
        <w:rPr>
          <w:rStyle w:val="44"/>
          <w:rFonts w:ascii="宋体" w:hAnsi="宋体"/>
          <w:color w:val="auto"/>
          <w:sz w:val="20"/>
          <w:szCs w:val="21"/>
          <w:highlight w:val="none"/>
          <w:u w:val="dotted" w:color="000000"/>
        </w:rPr>
      </w:pPr>
    </w:p>
    <w:p w14:paraId="7199B5A4">
      <w:pPr>
        <w:shd w:val="clear" w:color="auto" w:fill="auto"/>
        <w:snapToGrid w:val="0"/>
        <w:rPr>
          <w:rStyle w:val="44"/>
          <w:rFonts w:ascii="宋体" w:hAnsi="宋体"/>
          <w:color w:val="auto"/>
          <w:sz w:val="20"/>
          <w:szCs w:val="21"/>
          <w:highlight w:val="none"/>
        </w:rPr>
      </w:pPr>
    </w:p>
    <w:p w14:paraId="650EA454">
      <w:pPr>
        <w:shd w:val="clear" w:color="auto" w:fill="auto"/>
        <w:snapToGrid w:val="0"/>
        <w:rPr>
          <w:rStyle w:val="44"/>
          <w:rFonts w:ascii="宋体" w:hAnsi="宋体"/>
          <w:color w:val="auto"/>
          <w:sz w:val="20"/>
          <w:szCs w:val="21"/>
          <w:highlight w:val="none"/>
        </w:rPr>
      </w:pPr>
    </w:p>
    <w:p w14:paraId="06C14C06">
      <w:pPr>
        <w:shd w:val="clear" w:color="auto" w:fill="auto"/>
        <w:snapToGrid w:val="0"/>
        <w:rPr>
          <w:rStyle w:val="44"/>
          <w:rFonts w:ascii="宋体" w:hAnsi="宋体"/>
          <w:color w:val="auto"/>
          <w:sz w:val="20"/>
          <w:szCs w:val="21"/>
          <w:highlight w:val="none"/>
        </w:rPr>
      </w:pPr>
    </w:p>
    <w:p w14:paraId="078643AA">
      <w:pPr>
        <w:shd w:val="clear" w:color="auto" w:fill="auto"/>
        <w:snapToGrid w:val="0"/>
        <w:rPr>
          <w:rStyle w:val="44"/>
          <w:rFonts w:ascii="宋体" w:hAnsi="宋体"/>
          <w:color w:val="auto"/>
          <w:sz w:val="20"/>
          <w:szCs w:val="21"/>
          <w:highlight w:val="none"/>
        </w:rPr>
      </w:pPr>
    </w:p>
    <w:p w14:paraId="13271EFC">
      <w:pPr>
        <w:shd w:val="clear" w:color="auto" w:fill="auto"/>
        <w:snapToGrid w:val="0"/>
        <w:rPr>
          <w:rStyle w:val="44"/>
          <w:rFonts w:ascii="宋体" w:hAnsi="宋体"/>
          <w:color w:val="auto"/>
          <w:sz w:val="20"/>
          <w:szCs w:val="21"/>
          <w:highlight w:val="none"/>
        </w:rPr>
      </w:pPr>
    </w:p>
    <w:p w14:paraId="4D8F90FD">
      <w:pPr>
        <w:shd w:val="clear" w:color="auto" w:fill="auto"/>
        <w:snapToGrid w:val="0"/>
        <w:rPr>
          <w:rStyle w:val="44"/>
          <w:rFonts w:ascii="宋体" w:hAnsi="宋体"/>
          <w:color w:val="auto"/>
          <w:sz w:val="20"/>
          <w:szCs w:val="21"/>
          <w:highlight w:val="none"/>
        </w:rPr>
      </w:pPr>
    </w:p>
    <w:p w14:paraId="2317BD8F">
      <w:pPr>
        <w:shd w:val="clear" w:color="auto" w:fill="auto"/>
        <w:snapToGrid w:val="0"/>
        <w:rPr>
          <w:rStyle w:val="44"/>
          <w:rFonts w:ascii="宋体" w:hAnsi="宋体"/>
          <w:color w:val="auto"/>
          <w:sz w:val="20"/>
          <w:szCs w:val="21"/>
          <w:highlight w:val="none"/>
        </w:rPr>
      </w:pPr>
    </w:p>
    <w:p w14:paraId="1B311814">
      <w:pPr>
        <w:shd w:val="clear" w:color="auto" w:fill="auto"/>
        <w:snapToGrid w:val="0"/>
        <w:rPr>
          <w:rStyle w:val="44"/>
          <w:rFonts w:ascii="宋体" w:hAnsi="宋体"/>
          <w:color w:val="auto"/>
          <w:sz w:val="20"/>
          <w:szCs w:val="21"/>
          <w:highlight w:val="none"/>
        </w:rPr>
      </w:pPr>
    </w:p>
    <w:p w14:paraId="354A1060">
      <w:pPr>
        <w:shd w:val="clear" w:color="auto" w:fill="auto"/>
        <w:snapToGrid w:val="0"/>
        <w:rPr>
          <w:rStyle w:val="44"/>
          <w:rFonts w:ascii="宋体" w:hAnsi="宋体"/>
          <w:color w:val="auto"/>
          <w:sz w:val="20"/>
          <w:szCs w:val="21"/>
          <w:highlight w:val="none"/>
        </w:rPr>
      </w:pPr>
    </w:p>
    <w:p w14:paraId="20DD258B">
      <w:pPr>
        <w:shd w:val="clear" w:color="auto" w:fill="auto"/>
        <w:snapToGrid w:val="0"/>
        <w:rPr>
          <w:rStyle w:val="44"/>
          <w:rFonts w:ascii="宋体" w:hAnsi="宋体"/>
          <w:color w:val="auto"/>
          <w:sz w:val="20"/>
          <w:szCs w:val="21"/>
          <w:highlight w:val="none"/>
        </w:rPr>
      </w:pPr>
    </w:p>
    <w:p w14:paraId="1811EDBA">
      <w:pPr>
        <w:shd w:val="clear" w:color="auto" w:fill="auto"/>
        <w:snapToGrid w:val="0"/>
        <w:rPr>
          <w:rStyle w:val="44"/>
          <w:rFonts w:ascii="宋体" w:hAnsi="宋体"/>
          <w:color w:val="auto"/>
          <w:sz w:val="20"/>
          <w:szCs w:val="21"/>
          <w:highlight w:val="none"/>
        </w:rPr>
      </w:pPr>
    </w:p>
    <w:p w14:paraId="71D39544">
      <w:pPr>
        <w:shd w:val="clear" w:color="auto" w:fill="auto"/>
        <w:snapToGrid w:val="0"/>
        <w:rPr>
          <w:rStyle w:val="44"/>
          <w:rFonts w:ascii="宋体" w:hAnsi="宋体"/>
          <w:color w:val="auto"/>
          <w:sz w:val="20"/>
          <w:szCs w:val="21"/>
          <w:highlight w:val="none"/>
        </w:rPr>
      </w:pPr>
    </w:p>
    <w:p w14:paraId="4F5778E2">
      <w:pPr>
        <w:shd w:val="clear" w:color="auto" w:fill="auto"/>
        <w:snapToGrid w:val="0"/>
        <w:rPr>
          <w:rStyle w:val="44"/>
          <w:rFonts w:ascii="宋体" w:hAnsi="宋体"/>
          <w:color w:val="auto"/>
          <w:szCs w:val="21"/>
          <w:highlight w:val="none"/>
        </w:rPr>
      </w:pPr>
    </w:p>
    <w:p w14:paraId="4F1146D2">
      <w:pPr>
        <w:shd w:val="clear" w:color="auto" w:fill="auto"/>
        <w:snapToGrid w:val="0"/>
        <w:rPr>
          <w:rStyle w:val="44"/>
          <w:rFonts w:ascii="宋体" w:hAnsi="宋体"/>
          <w:color w:val="auto"/>
          <w:szCs w:val="21"/>
          <w:highlight w:val="none"/>
        </w:rPr>
      </w:pPr>
    </w:p>
    <w:p w14:paraId="65B7A99C">
      <w:pPr>
        <w:shd w:val="clear" w:color="auto" w:fill="auto"/>
        <w:snapToGrid w:val="0"/>
        <w:rPr>
          <w:rStyle w:val="44"/>
          <w:rFonts w:ascii="宋体" w:hAnsi="宋体"/>
          <w:color w:val="auto"/>
          <w:szCs w:val="21"/>
          <w:highlight w:val="none"/>
        </w:rPr>
      </w:pPr>
    </w:p>
    <w:p w14:paraId="2C073192">
      <w:pPr>
        <w:shd w:val="clear" w:color="auto" w:fill="auto"/>
        <w:snapToGrid w:val="0"/>
        <w:rPr>
          <w:rStyle w:val="44"/>
          <w:rFonts w:ascii="宋体" w:hAnsi="宋体"/>
          <w:color w:val="auto"/>
          <w:szCs w:val="21"/>
          <w:highlight w:val="none"/>
        </w:rPr>
      </w:pPr>
    </w:p>
    <w:p w14:paraId="59FF32FD">
      <w:pPr>
        <w:shd w:val="clear" w:color="auto" w:fill="auto"/>
        <w:snapToGrid w:val="0"/>
        <w:rPr>
          <w:rStyle w:val="44"/>
          <w:rFonts w:ascii="宋体" w:hAnsi="宋体"/>
          <w:color w:val="auto"/>
          <w:szCs w:val="21"/>
          <w:highlight w:val="none"/>
        </w:rPr>
      </w:pPr>
    </w:p>
    <w:p w14:paraId="7E0BBD2E">
      <w:pPr>
        <w:shd w:val="clear" w:color="auto" w:fill="auto"/>
        <w:snapToGrid w:val="0"/>
        <w:rPr>
          <w:rStyle w:val="44"/>
          <w:rFonts w:ascii="宋体" w:hAnsi="宋体"/>
          <w:color w:val="auto"/>
          <w:sz w:val="20"/>
          <w:szCs w:val="21"/>
          <w:highlight w:val="none"/>
        </w:rPr>
      </w:pPr>
      <w:r>
        <w:rPr>
          <w:rStyle w:val="44"/>
          <w:rFonts w:ascii="宋体" w:hAnsi="宋体"/>
          <w:color w:val="auto"/>
          <w:szCs w:val="21"/>
          <w:highlight w:val="none"/>
        </w:rPr>
        <w:t>附件4-4</w:t>
      </w:r>
    </w:p>
    <w:p w14:paraId="5086B8DE">
      <w:pPr>
        <w:shd w:val="clear" w:color="auto" w:fill="auto"/>
        <w:snapToGrid w:val="0"/>
        <w:jc w:val="center"/>
        <w:rPr>
          <w:rStyle w:val="44"/>
          <w:b/>
          <w:color w:val="auto"/>
          <w:sz w:val="32"/>
          <w:szCs w:val="32"/>
          <w:highlight w:val="none"/>
        </w:rPr>
      </w:pPr>
      <w:r>
        <w:rPr>
          <w:rStyle w:val="44"/>
          <w:b/>
          <w:color w:val="auto"/>
          <w:sz w:val="32"/>
          <w:szCs w:val="32"/>
          <w:highlight w:val="none"/>
        </w:rPr>
        <w:t>其他资格证明文件</w:t>
      </w:r>
    </w:p>
    <w:p w14:paraId="7C75C826">
      <w:pPr>
        <w:shd w:val="clear" w:color="auto" w:fill="auto"/>
        <w:snapToGrid w:val="0"/>
        <w:spacing w:line="480" w:lineRule="exact"/>
        <w:rPr>
          <w:rStyle w:val="44"/>
          <w:rFonts w:ascii="宋体" w:hAnsi="宋体"/>
          <w:color w:val="auto"/>
          <w:sz w:val="24"/>
          <w:szCs w:val="24"/>
          <w:highlight w:val="none"/>
        </w:rPr>
      </w:pPr>
    </w:p>
    <w:p w14:paraId="15B93C26">
      <w:pPr>
        <w:shd w:val="clear" w:color="auto" w:fill="auto"/>
        <w:snapToGrid w:val="0"/>
        <w:spacing w:line="480" w:lineRule="exact"/>
        <w:rPr>
          <w:rStyle w:val="44"/>
          <w:rFonts w:ascii="宋体" w:hAnsi="宋体"/>
          <w:color w:val="auto"/>
          <w:sz w:val="24"/>
          <w:szCs w:val="24"/>
          <w:highlight w:val="none"/>
        </w:rPr>
      </w:pPr>
      <w:r>
        <w:rPr>
          <w:rStyle w:val="44"/>
          <w:rFonts w:ascii="宋体" w:hAnsi="宋体"/>
          <w:color w:val="auto"/>
          <w:sz w:val="24"/>
          <w:szCs w:val="24"/>
          <w:highlight w:val="none"/>
        </w:rPr>
        <w:t>现附上：</w:t>
      </w:r>
    </w:p>
    <w:p w14:paraId="574303E9">
      <w:pPr>
        <w:shd w:val="clear" w:color="auto" w:fill="auto"/>
        <w:snapToGrid w:val="0"/>
        <w:spacing w:line="480" w:lineRule="exact"/>
        <w:rPr>
          <w:rStyle w:val="44"/>
          <w:rFonts w:hint="eastAsia" w:ascii="宋体" w:hAnsi="宋体" w:eastAsia="宋体"/>
          <w:color w:val="auto"/>
          <w:kern w:val="0"/>
          <w:sz w:val="24"/>
          <w:szCs w:val="24"/>
          <w:highlight w:val="none"/>
          <w:lang w:eastAsia="zh-CN"/>
        </w:rPr>
      </w:pPr>
      <w:r>
        <w:rPr>
          <w:rStyle w:val="44"/>
          <w:rFonts w:ascii="宋体" w:hAnsi="宋体"/>
          <w:color w:val="auto"/>
          <w:kern w:val="0"/>
          <w:sz w:val="24"/>
          <w:szCs w:val="24"/>
          <w:highlight w:val="none"/>
        </w:rPr>
        <w:t>招标文件第二章投标人须知中</w:t>
      </w:r>
      <w:r>
        <w:rPr>
          <w:rStyle w:val="44"/>
          <w:rFonts w:ascii="宋体" w:hAnsi="宋体"/>
          <w:color w:val="auto"/>
          <w:sz w:val="24"/>
          <w:szCs w:val="24"/>
          <w:highlight w:val="none"/>
        </w:rPr>
        <w:t>资格标准所须提供的相关证明材料</w:t>
      </w:r>
      <w:r>
        <w:rPr>
          <w:rStyle w:val="44"/>
          <w:rFonts w:hint="eastAsia" w:ascii="宋体" w:hAnsi="宋体"/>
          <w:color w:val="auto"/>
          <w:sz w:val="24"/>
          <w:szCs w:val="24"/>
          <w:highlight w:val="none"/>
          <w:lang w:eastAsia="zh-CN"/>
        </w:rPr>
        <w:t>（若有）</w:t>
      </w:r>
    </w:p>
    <w:p w14:paraId="6391F164">
      <w:pPr>
        <w:shd w:val="clear" w:color="auto" w:fill="auto"/>
        <w:snapToGrid w:val="0"/>
        <w:spacing w:line="480" w:lineRule="exact"/>
        <w:rPr>
          <w:rStyle w:val="44"/>
          <w:rFonts w:ascii="宋体" w:hAnsi="宋体"/>
          <w:color w:val="auto"/>
          <w:kern w:val="0"/>
          <w:sz w:val="24"/>
          <w:szCs w:val="24"/>
          <w:highlight w:val="none"/>
        </w:rPr>
      </w:pPr>
    </w:p>
    <w:p w14:paraId="245EA57C">
      <w:pPr>
        <w:shd w:val="clear" w:color="auto" w:fill="auto"/>
        <w:snapToGrid w:val="0"/>
        <w:spacing w:line="480" w:lineRule="exact"/>
        <w:rPr>
          <w:rStyle w:val="44"/>
          <w:rFonts w:ascii="宋体" w:hAnsi="宋体"/>
          <w:color w:val="auto"/>
          <w:kern w:val="0"/>
          <w:sz w:val="24"/>
          <w:szCs w:val="24"/>
          <w:highlight w:val="none"/>
          <w:u w:val="single" w:color="000000"/>
        </w:rPr>
      </w:pPr>
      <w:r>
        <w:rPr>
          <w:rStyle w:val="44"/>
          <w:rFonts w:ascii="宋体" w:hAnsi="宋体"/>
          <w:color w:val="auto"/>
          <w:kern w:val="0"/>
          <w:sz w:val="24"/>
          <w:szCs w:val="24"/>
          <w:highlight w:val="none"/>
        </w:rPr>
        <w:t>投标人：（全称并加盖公章）</w:t>
      </w:r>
    </w:p>
    <w:p w14:paraId="2C61583C">
      <w:pPr>
        <w:shd w:val="clear" w:color="auto" w:fill="auto"/>
        <w:snapToGrid w:val="0"/>
        <w:spacing w:line="480" w:lineRule="exact"/>
        <w:rPr>
          <w:rStyle w:val="44"/>
          <w:rFonts w:ascii="宋体" w:hAnsi="宋体"/>
          <w:color w:val="auto"/>
          <w:kern w:val="0"/>
          <w:sz w:val="24"/>
          <w:szCs w:val="24"/>
          <w:highlight w:val="none"/>
        </w:rPr>
      </w:pPr>
      <w:r>
        <w:rPr>
          <w:rStyle w:val="44"/>
          <w:rFonts w:ascii="宋体" w:hAnsi="宋体"/>
          <w:color w:val="auto"/>
          <w:kern w:val="0"/>
          <w:sz w:val="24"/>
          <w:szCs w:val="24"/>
          <w:highlight w:val="none"/>
        </w:rPr>
        <w:t>投标人代表（签字）：</w:t>
      </w:r>
    </w:p>
    <w:p w14:paraId="55E36DB5">
      <w:pPr>
        <w:shd w:val="clear" w:color="auto" w:fill="auto"/>
        <w:snapToGrid w:val="0"/>
        <w:spacing w:line="480" w:lineRule="exact"/>
        <w:rPr>
          <w:rStyle w:val="44"/>
          <w:rFonts w:ascii="新宋体" w:hAnsi="新宋体" w:eastAsia="新宋体"/>
          <w:color w:val="auto"/>
          <w:sz w:val="24"/>
          <w:szCs w:val="24"/>
          <w:highlight w:val="none"/>
        </w:rPr>
      </w:pPr>
      <w:r>
        <w:rPr>
          <w:rStyle w:val="44"/>
          <w:rFonts w:ascii="宋体" w:hAnsi="宋体"/>
          <w:color w:val="auto"/>
          <w:kern w:val="0"/>
          <w:sz w:val="24"/>
          <w:szCs w:val="24"/>
          <w:highlight w:val="none"/>
        </w:rPr>
        <w:t xml:space="preserve"> 日             期：</w:t>
      </w:r>
    </w:p>
    <w:p w14:paraId="49E6EAE1">
      <w:pPr>
        <w:shd w:val="clear" w:color="auto" w:fill="auto"/>
        <w:snapToGrid w:val="0"/>
        <w:rPr>
          <w:rStyle w:val="44"/>
          <w:rFonts w:ascii="新宋体" w:hAnsi="新宋体" w:eastAsia="新宋体"/>
          <w:color w:val="auto"/>
          <w:sz w:val="24"/>
          <w:szCs w:val="24"/>
          <w:highlight w:val="none"/>
        </w:rPr>
      </w:pPr>
    </w:p>
    <w:p w14:paraId="2141436C">
      <w:pPr>
        <w:shd w:val="clear" w:color="auto" w:fill="auto"/>
        <w:snapToGrid w:val="0"/>
        <w:rPr>
          <w:rStyle w:val="44"/>
          <w:rFonts w:ascii="宋体" w:hAnsi="宋体"/>
          <w:color w:val="auto"/>
          <w:sz w:val="24"/>
          <w:szCs w:val="24"/>
          <w:highlight w:val="none"/>
        </w:rPr>
      </w:pPr>
    </w:p>
    <w:p w14:paraId="00BBC3A7">
      <w:pPr>
        <w:shd w:val="clear" w:color="auto" w:fill="auto"/>
        <w:snapToGrid w:val="0"/>
        <w:rPr>
          <w:rStyle w:val="44"/>
          <w:rFonts w:ascii="宋体" w:hAnsi="宋体"/>
          <w:color w:val="auto"/>
          <w:sz w:val="24"/>
          <w:szCs w:val="24"/>
          <w:highlight w:val="none"/>
        </w:rPr>
      </w:pPr>
    </w:p>
    <w:p w14:paraId="63AC3533">
      <w:pPr>
        <w:shd w:val="clear" w:color="auto" w:fill="auto"/>
        <w:snapToGrid w:val="0"/>
        <w:rPr>
          <w:rStyle w:val="44"/>
          <w:rFonts w:ascii="宋体" w:hAnsi="宋体"/>
          <w:color w:val="auto"/>
          <w:sz w:val="24"/>
          <w:szCs w:val="24"/>
          <w:highlight w:val="none"/>
        </w:rPr>
      </w:pPr>
    </w:p>
    <w:p w14:paraId="29394B04">
      <w:pPr>
        <w:shd w:val="clear" w:color="auto" w:fill="auto"/>
        <w:snapToGrid w:val="0"/>
        <w:rPr>
          <w:rStyle w:val="44"/>
          <w:rFonts w:ascii="宋体" w:hAnsi="宋体"/>
          <w:color w:val="auto"/>
          <w:sz w:val="24"/>
          <w:szCs w:val="24"/>
          <w:highlight w:val="none"/>
        </w:rPr>
      </w:pPr>
    </w:p>
    <w:p w14:paraId="426B20FA">
      <w:pPr>
        <w:shd w:val="clear" w:color="auto" w:fill="auto"/>
        <w:snapToGrid w:val="0"/>
        <w:rPr>
          <w:rStyle w:val="44"/>
          <w:rFonts w:ascii="宋体" w:hAnsi="宋体"/>
          <w:color w:val="auto"/>
          <w:sz w:val="24"/>
          <w:szCs w:val="24"/>
          <w:highlight w:val="none"/>
        </w:rPr>
      </w:pPr>
    </w:p>
    <w:p w14:paraId="32DF8C75">
      <w:pPr>
        <w:shd w:val="clear" w:color="auto" w:fill="auto"/>
        <w:snapToGrid w:val="0"/>
        <w:rPr>
          <w:rStyle w:val="44"/>
          <w:color w:val="auto"/>
          <w:sz w:val="20"/>
          <w:highlight w:val="none"/>
        </w:rPr>
      </w:pPr>
    </w:p>
    <w:p w14:paraId="4DCFFDC2">
      <w:pPr>
        <w:shd w:val="clear" w:color="auto" w:fill="auto"/>
        <w:snapToGrid w:val="0"/>
        <w:rPr>
          <w:rStyle w:val="44"/>
          <w:color w:val="auto"/>
          <w:sz w:val="20"/>
          <w:highlight w:val="none"/>
        </w:rPr>
      </w:pPr>
    </w:p>
    <w:p w14:paraId="14D3BD0D">
      <w:pPr>
        <w:shd w:val="clear" w:color="auto" w:fill="auto"/>
        <w:snapToGrid w:val="0"/>
        <w:rPr>
          <w:rStyle w:val="44"/>
          <w:color w:val="auto"/>
          <w:sz w:val="20"/>
          <w:highlight w:val="none"/>
        </w:rPr>
      </w:pPr>
    </w:p>
    <w:p w14:paraId="6A437439">
      <w:pPr>
        <w:shd w:val="clear" w:color="auto" w:fill="auto"/>
        <w:snapToGrid w:val="0"/>
        <w:rPr>
          <w:rStyle w:val="44"/>
          <w:color w:val="auto"/>
          <w:sz w:val="20"/>
          <w:highlight w:val="none"/>
        </w:rPr>
      </w:pPr>
    </w:p>
    <w:p w14:paraId="24FD6238">
      <w:pPr>
        <w:shd w:val="clear" w:color="auto" w:fill="auto"/>
        <w:snapToGrid w:val="0"/>
        <w:rPr>
          <w:rStyle w:val="44"/>
          <w:color w:val="auto"/>
          <w:sz w:val="20"/>
          <w:highlight w:val="none"/>
        </w:rPr>
      </w:pPr>
    </w:p>
    <w:p w14:paraId="53C7AFB8">
      <w:pPr>
        <w:shd w:val="clear" w:color="auto" w:fill="auto"/>
        <w:snapToGrid w:val="0"/>
        <w:rPr>
          <w:rStyle w:val="44"/>
          <w:rFonts w:ascii="宋体" w:hAnsi="宋体"/>
          <w:color w:val="auto"/>
          <w:sz w:val="24"/>
          <w:szCs w:val="24"/>
          <w:highlight w:val="none"/>
        </w:rPr>
      </w:pPr>
    </w:p>
    <w:p w14:paraId="1535F6A3">
      <w:pPr>
        <w:shd w:val="clear" w:color="auto" w:fill="auto"/>
        <w:snapToGrid w:val="0"/>
        <w:rPr>
          <w:rStyle w:val="44"/>
          <w:rFonts w:ascii="宋体" w:hAnsi="宋体"/>
          <w:color w:val="auto"/>
          <w:sz w:val="24"/>
          <w:szCs w:val="24"/>
          <w:highlight w:val="none"/>
        </w:rPr>
      </w:pPr>
    </w:p>
    <w:p w14:paraId="07F96BD4">
      <w:pPr>
        <w:shd w:val="clear" w:color="auto" w:fill="auto"/>
        <w:snapToGrid w:val="0"/>
        <w:rPr>
          <w:rStyle w:val="44"/>
          <w:rFonts w:ascii="宋体" w:hAnsi="宋体"/>
          <w:color w:val="auto"/>
          <w:sz w:val="24"/>
          <w:szCs w:val="24"/>
          <w:highlight w:val="none"/>
        </w:rPr>
      </w:pPr>
    </w:p>
    <w:p w14:paraId="2AC0AE20">
      <w:pPr>
        <w:shd w:val="clear" w:color="auto" w:fill="auto"/>
        <w:snapToGrid w:val="0"/>
        <w:rPr>
          <w:rStyle w:val="44"/>
          <w:rFonts w:ascii="宋体" w:hAnsi="宋体"/>
          <w:color w:val="auto"/>
          <w:sz w:val="24"/>
          <w:szCs w:val="24"/>
          <w:highlight w:val="none"/>
        </w:rPr>
      </w:pPr>
    </w:p>
    <w:p w14:paraId="7D5E9C34">
      <w:pPr>
        <w:shd w:val="clear" w:color="auto" w:fill="auto"/>
        <w:snapToGrid w:val="0"/>
        <w:rPr>
          <w:rStyle w:val="44"/>
          <w:rFonts w:ascii="宋体" w:hAnsi="宋体"/>
          <w:color w:val="auto"/>
          <w:sz w:val="24"/>
          <w:szCs w:val="24"/>
          <w:highlight w:val="none"/>
        </w:rPr>
      </w:pPr>
    </w:p>
    <w:p w14:paraId="0EEB8B99">
      <w:pPr>
        <w:shd w:val="clear" w:color="auto" w:fill="auto"/>
        <w:snapToGrid w:val="0"/>
        <w:rPr>
          <w:rStyle w:val="44"/>
          <w:rFonts w:ascii="宋体" w:hAnsi="宋体"/>
          <w:color w:val="auto"/>
          <w:sz w:val="24"/>
          <w:szCs w:val="24"/>
          <w:highlight w:val="none"/>
        </w:rPr>
      </w:pPr>
    </w:p>
    <w:p w14:paraId="33727C0E">
      <w:pPr>
        <w:shd w:val="clear" w:color="auto" w:fill="auto"/>
        <w:snapToGrid w:val="0"/>
        <w:rPr>
          <w:rStyle w:val="44"/>
          <w:rFonts w:ascii="宋体" w:hAnsi="宋体"/>
          <w:color w:val="auto"/>
          <w:sz w:val="24"/>
          <w:szCs w:val="24"/>
          <w:highlight w:val="none"/>
        </w:rPr>
      </w:pPr>
    </w:p>
    <w:p w14:paraId="1DD04723">
      <w:pPr>
        <w:shd w:val="clear" w:color="auto" w:fill="auto"/>
        <w:snapToGrid w:val="0"/>
        <w:rPr>
          <w:rStyle w:val="44"/>
          <w:rFonts w:ascii="宋体" w:hAnsi="宋体"/>
          <w:color w:val="auto"/>
          <w:sz w:val="24"/>
          <w:szCs w:val="24"/>
          <w:highlight w:val="none"/>
        </w:rPr>
      </w:pPr>
    </w:p>
    <w:p w14:paraId="18098402">
      <w:pPr>
        <w:shd w:val="clear" w:color="auto" w:fill="auto"/>
        <w:snapToGrid w:val="0"/>
        <w:rPr>
          <w:rStyle w:val="44"/>
          <w:rFonts w:ascii="宋体" w:hAnsi="宋体"/>
          <w:color w:val="auto"/>
          <w:sz w:val="24"/>
          <w:szCs w:val="24"/>
          <w:highlight w:val="none"/>
        </w:rPr>
      </w:pPr>
    </w:p>
    <w:p w14:paraId="4B9E61BE">
      <w:pPr>
        <w:shd w:val="clear" w:color="auto" w:fill="auto"/>
        <w:snapToGrid w:val="0"/>
        <w:rPr>
          <w:rStyle w:val="44"/>
          <w:rFonts w:ascii="宋体" w:hAnsi="宋体"/>
          <w:color w:val="auto"/>
          <w:sz w:val="24"/>
          <w:szCs w:val="24"/>
          <w:highlight w:val="none"/>
        </w:rPr>
      </w:pPr>
    </w:p>
    <w:p w14:paraId="59DDFAE4">
      <w:pPr>
        <w:shd w:val="clear" w:color="auto" w:fill="auto"/>
        <w:snapToGrid w:val="0"/>
        <w:rPr>
          <w:rStyle w:val="44"/>
          <w:rFonts w:ascii="宋体" w:hAnsi="宋体"/>
          <w:color w:val="auto"/>
          <w:sz w:val="24"/>
          <w:szCs w:val="24"/>
          <w:highlight w:val="none"/>
        </w:rPr>
      </w:pPr>
    </w:p>
    <w:p w14:paraId="35C28FD2">
      <w:pPr>
        <w:shd w:val="clear" w:color="auto" w:fill="auto"/>
        <w:snapToGrid w:val="0"/>
        <w:rPr>
          <w:rStyle w:val="44"/>
          <w:rFonts w:ascii="宋体" w:hAnsi="宋体"/>
          <w:color w:val="auto"/>
          <w:sz w:val="24"/>
          <w:szCs w:val="24"/>
          <w:highlight w:val="none"/>
        </w:rPr>
      </w:pPr>
    </w:p>
    <w:p w14:paraId="27D8201F">
      <w:pPr>
        <w:shd w:val="clear" w:color="auto" w:fill="auto"/>
        <w:snapToGrid w:val="0"/>
        <w:rPr>
          <w:rStyle w:val="44"/>
          <w:rFonts w:ascii="宋体" w:hAnsi="宋体"/>
          <w:color w:val="auto"/>
          <w:sz w:val="24"/>
          <w:szCs w:val="24"/>
          <w:highlight w:val="none"/>
        </w:rPr>
      </w:pPr>
    </w:p>
    <w:p w14:paraId="7AEB9F44">
      <w:pPr>
        <w:shd w:val="clear" w:color="auto" w:fill="auto"/>
        <w:snapToGrid w:val="0"/>
        <w:rPr>
          <w:rStyle w:val="44"/>
          <w:rFonts w:ascii="宋体" w:hAnsi="宋体"/>
          <w:color w:val="auto"/>
          <w:sz w:val="24"/>
          <w:szCs w:val="24"/>
          <w:highlight w:val="none"/>
        </w:rPr>
      </w:pPr>
    </w:p>
    <w:p w14:paraId="0AD9C597">
      <w:pPr>
        <w:shd w:val="clear" w:color="auto" w:fill="auto"/>
        <w:snapToGrid w:val="0"/>
        <w:rPr>
          <w:rStyle w:val="44"/>
          <w:rFonts w:ascii="宋体" w:hAnsi="宋体"/>
          <w:color w:val="auto"/>
          <w:sz w:val="24"/>
          <w:szCs w:val="24"/>
          <w:highlight w:val="none"/>
        </w:rPr>
      </w:pPr>
    </w:p>
    <w:p w14:paraId="486503B9">
      <w:pPr>
        <w:shd w:val="clear" w:color="auto" w:fill="auto"/>
        <w:snapToGrid w:val="0"/>
        <w:rPr>
          <w:rStyle w:val="44"/>
          <w:rFonts w:ascii="宋体" w:hAnsi="宋体"/>
          <w:color w:val="auto"/>
          <w:sz w:val="24"/>
          <w:szCs w:val="24"/>
          <w:highlight w:val="none"/>
        </w:rPr>
      </w:pPr>
    </w:p>
    <w:p w14:paraId="757C7B26">
      <w:pPr>
        <w:shd w:val="clear" w:color="auto" w:fill="auto"/>
        <w:snapToGrid w:val="0"/>
        <w:rPr>
          <w:rStyle w:val="44"/>
          <w:rFonts w:ascii="宋体" w:hAnsi="宋体"/>
          <w:color w:val="auto"/>
          <w:sz w:val="24"/>
          <w:szCs w:val="24"/>
          <w:highlight w:val="none"/>
        </w:rPr>
      </w:pPr>
    </w:p>
    <w:p w14:paraId="545A7CE5">
      <w:pPr>
        <w:shd w:val="clear" w:color="auto" w:fill="auto"/>
        <w:snapToGrid w:val="0"/>
        <w:rPr>
          <w:rStyle w:val="44"/>
          <w:rFonts w:ascii="宋体" w:hAnsi="宋体"/>
          <w:color w:val="auto"/>
          <w:sz w:val="24"/>
          <w:szCs w:val="24"/>
          <w:highlight w:val="none"/>
        </w:rPr>
      </w:pPr>
    </w:p>
    <w:p w14:paraId="5FE718A1">
      <w:pPr>
        <w:shd w:val="clear" w:color="auto" w:fill="auto"/>
        <w:snapToGrid w:val="0"/>
        <w:rPr>
          <w:rStyle w:val="44"/>
          <w:rFonts w:ascii="宋体" w:hAnsi="宋体"/>
          <w:color w:val="auto"/>
          <w:sz w:val="24"/>
          <w:szCs w:val="24"/>
          <w:highlight w:val="none"/>
        </w:rPr>
      </w:pPr>
    </w:p>
    <w:p w14:paraId="1533D7A3">
      <w:pPr>
        <w:shd w:val="clear" w:color="auto" w:fill="auto"/>
        <w:snapToGrid w:val="0"/>
        <w:rPr>
          <w:rStyle w:val="44"/>
          <w:rFonts w:ascii="宋体" w:hAnsi="宋体"/>
          <w:color w:val="auto"/>
          <w:sz w:val="24"/>
          <w:szCs w:val="24"/>
          <w:highlight w:val="none"/>
        </w:rPr>
      </w:pPr>
    </w:p>
    <w:p w14:paraId="3087CA88">
      <w:pPr>
        <w:shd w:val="clear" w:color="auto" w:fill="auto"/>
        <w:snapToGrid w:val="0"/>
        <w:rPr>
          <w:rStyle w:val="44"/>
          <w:rFonts w:ascii="宋体" w:hAnsi="宋体"/>
          <w:color w:val="auto"/>
          <w:sz w:val="24"/>
          <w:szCs w:val="24"/>
          <w:highlight w:val="none"/>
        </w:rPr>
      </w:pPr>
    </w:p>
    <w:p w14:paraId="31841E6D">
      <w:pPr>
        <w:shd w:val="clear" w:color="auto" w:fill="auto"/>
        <w:snapToGrid w:val="0"/>
        <w:rPr>
          <w:rStyle w:val="44"/>
          <w:rFonts w:hint="eastAsia" w:ascii="宋体" w:hAnsi="宋体"/>
          <w:color w:val="auto"/>
          <w:sz w:val="24"/>
          <w:szCs w:val="24"/>
          <w:highlight w:val="none"/>
        </w:rPr>
      </w:pPr>
    </w:p>
    <w:p w14:paraId="119FDD9C">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附件4-5</w:t>
      </w:r>
    </w:p>
    <w:p w14:paraId="2E593C7D">
      <w:pPr>
        <w:shd w:val="clear" w:color="auto" w:fill="auto"/>
        <w:snapToGrid w:val="0"/>
        <w:rPr>
          <w:rStyle w:val="44"/>
          <w:rFonts w:ascii="宋体" w:hAnsi="宋体"/>
          <w:color w:val="auto"/>
          <w:sz w:val="24"/>
          <w:szCs w:val="24"/>
          <w:highlight w:val="none"/>
        </w:rPr>
      </w:pPr>
    </w:p>
    <w:p w14:paraId="6FBDB1CF">
      <w:pPr>
        <w:shd w:val="clear" w:color="auto" w:fill="auto"/>
        <w:snapToGrid w:val="0"/>
        <w:rPr>
          <w:rStyle w:val="44"/>
          <w:rFonts w:ascii="宋体" w:hAnsi="宋体"/>
          <w:color w:val="auto"/>
          <w:sz w:val="24"/>
          <w:szCs w:val="24"/>
          <w:highlight w:val="none"/>
        </w:rPr>
      </w:pPr>
    </w:p>
    <w:p w14:paraId="619246E0">
      <w:pPr>
        <w:shd w:val="clear" w:color="auto" w:fill="auto"/>
        <w:snapToGrid w:val="0"/>
        <w:jc w:val="center"/>
        <w:rPr>
          <w:rStyle w:val="44"/>
          <w:rFonts w:ascii="宋体" w:hAnsi="宋体"/>
          <w:b/>
          <w:color w:val="auto"/>
          <w:sz w:val="24"/>
          <w:szCs w:val="24"/>
          <w:highlight w:val="none"/>
        </w:rPr>
      </w:pPr>
      <w:r>
        <w:rPr>
          <w:rStyle w:val="44"/>
          <w:rFonts w:ascii="宋体" w:hAnsi="宋体"/>
          <w:b/>
          <w:color w:val="auto"/>
          <w:sz w:val="24"/>
          <w:szCs w:val="24"/>
          <w:highlight w:val="none"/>
        </w:rPr>
        <w:t>声 明 函</w:t>
      </w:r>
    </w:p>
    <w:p w14:paraId="20D10525">
      <w:pPr>
        <w:shd w:val="clear" w:color="auto" w:fill="auto"/>
        <w:snapToGrid w:val="0"/>
        <w:rPr>
          <w:rStyle w:val="44"/>
          <w:rFonts w:ascii="宋体" w:hAnsi="宋体"/>
          <w:b/>
          <w:color w:val="auto"/>
          <w:sz w:val="24"/>
          <w:szCs w:val="24"/>
          <w:highlight w:val="none"/>
        </w:rPr>
      </w:pPr>
    </w:p>
    <w:p w14:paraId="5C4DBAE3">
      <w:pPr>
        <w:shd w:val="clear" w:color="auto" w:fill="auto"/>
        <w:snapToGrid w:val="0"/>
        <w:spacing w:line="480" w:lineRule="exact"/>
        <w:rPr>
          <w:rStyle w:val="44"/>
          <w:rFonts w:ascii="仿宋_GB2312"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仿宋_GB2312" w:hAnsi="宋体"/>
          <w:color w:val="auto"/>
          <w:sz w:val="24"/>
          <w:szCs w:val="24"/>
          <w:highlight w:val="none"/>
        </w:rPr>
        <w:t>招标代理有限公司</w:t>
      </w:r>
    </w:p>
    <w:p w14:paraId="125EA891">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我们在贵公司组织的</w:t>
      </w:r>
      <w:r>
        <w:rPr>
          <w:rStyle w:val="44"/>
          <w:rFonts w:ascii="宋体" w:hAnsi="宋体"/>
          <w:color w:val="auto"/>
          <w:sz w:val="24"/>
          <w:szCs w:val="24"/>
          <w:highlight w:val="none"/>
          <w:u w:val="single" w:color="000000"/>
        </w:rPr>
        <w:t xml:space="preserve">         项目</w:t>
      </w:r>
      <w:r>
        <w:rPr>
          <w:rStyle w:val="44"/>
          <w:rFonts w:ascii="宋体" w:hAnsi="宋体"/>
          <w:color w:val="auto"/>
          <w:sz w:val="24"/>
          <w:szCs w:val="24"/>
          <w:highlight w:val="none"/>
        </w:rPr>
        <w:t>招标中投标（</w:t>
      </w:r>
      <w:r>
        <w:rPr>
          <w:rStyle w:val="44"/>
          <w:rFonts w:ascii="宋体" w:hAnsi="宋体"/>
          <w:color w:val="auto"/>
          <w:sz w:val="24"/>
          <w:szCs w:val="24"/>
          <w:highlight w:val="none"/>
          <w:u w:val="single" w:color="000000"/>
        </w:rPr>
        <w:t xml:space="preserve">招标编号：         </w:t>
      </w:r>
      <w:r>
        <w:rPr>
          <w:rStyle w:val="44"/>
          <w:rFonts w:ascii="宋体" w:hAnsi="宋体"/>
          <w:color w:val="auto"/>
          <w:sz w:val="24"/>
          <w:szCs w:val="24"/>
          <w:highlight w:val="none"/>
        </w:rPr>
        <w:t>），现做如下声明：</w:t>
      </w:r>
    </w:p>
    <w:p w14:paraId="6371A784">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在此次招标活动中我公司未主动或被动地与具有《招标文件》中列明的关联关系的其他投标人共谋参与围标。我司承诺如果在资格审查或整个招投标过程中如果发现与其他投标人存在上述关联关系，投标无效；如果中标，我司愿意无条件放弃中标资格，并接受招标人、招标代理公司或评标委员会依据有关法律法规、规章和招标文件相关规定进行的任何处理。</w:t>
      </w:r>
    </w:p>
    <w:p w14:paraId="04C36BF5">
      <w:pPr>
        <w:shd w:val="clear" w:color="auto" w:fill="auto"/>
        <w:snapToGrid w:val="0"/>
        <w:spacing w:line="480" w:lineRule="exact"/>
        <w:rPr>
          <w:rStyle w:val="44"/>
          <w:rFonts w:ascii="宋体" w:hAnsi="宋体"/>
          <w:color w:val="auto"/>
          <w:sz w:val="24"/>
          <w:szCs w:val="24"/>
          <w:highlight w:val="none"/>
        </w:rPr>
      </w:pPr>
    </w:p>
    <w:p w14:paraId="388BA5CC">
      <w:pPr>
        <w:shd w:val="clear" w:color="auto" w:fill="auto"/>
        <w:snapToGrid w:val="0"/>
        <w:spacing w:line="48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特此声明！</w:t>
      </w:r>
    </w:p>
    <w:p w14:paraId="0E4C7E2F">
      <w:pPr>
        <w:shd w:val="clear" w:color="auto" w:fill="auto"/>
        <w:snapToGrid w:val="0"/>
        <w:rPr>
          <w:rStyle w:val="44"/>
          <w:rFonts w:ascii="宋体" w:hAnsi="宋体"/>
          <w:color w:val="auto"/>
          <w:sz w:val="24"/>
          <w:szCs w:val="24"/>
          <w:highlight w:val="none"/>
        </w:rPr>
      </w:pPr>
    </w:p>
    <w:p w14:paraId="254A6949">
      <w:pPr>
        <w:shd w:val="clear" w:color="auto" w:fill="auto"/>
        <w:snapToGrid w:val="0"/>
        <w:rPr>
          <w:rStyle w:val="44"/>
          <w:rFonts w:ascii="宋体" w:hAnsi="宋体"/>
          <w:color w:val="auto"/>
          <w:sz w:val="24"/>
          <w:szCs w:val="24"/>
          <w:highlight w:val="none"/>
        </w:rPr>
      </w:pPr>
    </w:p>
    <w:p w14:paraId="6C968820">
      <w:pPr>
        <w:shd w:val="clear" w:color="auto" w:fill="auto"/>
        <w:snapToGrid w:val="0"/>
        <w:rPr>
          <w:rStyle w:val="44"/>
          <w:rFonts w:ascii="宋体" w:hAnsi="宋体"/>
          <w:color w:val="auto"/>
          <w:sz w:val="24"/>
          <w:szCs w:val="24"/>
          <w:highlight w:val="none"/>
        </w:rPr>
      </w:pPr>
    </w:p>
    <w:p w14:paraId="424461B7">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3012C2D5">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地址：</w:t>
      </w:r>
      <w:r>
        <w:rPr>
          <w:rStyle w:val="44"/>
          <w:rFonts w:hint="eastAsia"/>
          <w:color w:val="auto"/>
          <w:kern w:val="0"/>
          <w:sz w:val="24"/>
          <w:szCs w:val="24"/>
          <w:highlight w:val="none"/>
        </w:rPr>
        <w:t xml:space="preserve">                        </w:t>
      </w:r>
      <w:r>
        <w:rPr>
          <w:rStyle w:val="44"/>
          <w:color w:val="auto"/>
          <w:kern w:val="0"/>
          <w:sz w:val="24"/>
          <w:szCs w:val="24"/>
          <w:highlight w:val="none"/>
        </w:rPr>
        <w:t>邮编：</w:t>
      </w:r>
    </w:p>
    <w:p w14:paraId="1BF2169B">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电话：</w:t>
      </w:r>
      <w:r>
        <w:rPr>
          <w:rStyle w:val="44"/>
          <w:rFonts w:hint="eastAsia"/>
          <w:color w:val="auto"/>
          <w:kern w:val="0"/>
          <w:sz w:val="24"/>
          <w:szCs w:val="24"/>
          <w:highlight w:val="none"/>
        </w:rPr>
        <w:t xml:space="preserve">                        </w:t>
      </w:r>
      <w:r>
        <w:rPr>
          <w:rStyle w:val="44"/>
          <w:color w:val="auto"/>
          <w:kern w:val="0"/>
          <w:sz w:val="24"/>
          <w:szCs w:val="24"/>
          <w:highlight w:val="none"/>
        </w:rPr>
        <w:t>传真：</w:t>
      </w:r>
    </w:p>
    <w:p w14:paraId="676E00E1">
      <w:pPr>
        <w:shd w:val="clear" w:color="auto" w:fill="auto"/>
        <w:snapToGrid w:val="0"/>
        <w:rPr>
          <w:rStyle w:val="44"/>
          <w:color w:val="auto"/>
          <w:kern w:val="0"/>
          <w:sz w:val="24"/>
          <w:szCs w:val="24"/>
          <w:highlight w:val="none"/>
          <w:u w:val="single" w:color="000000"/>
        </w:rPr>
      </w:pPr>
      <w:r>
        <w:rPr>
          <w:rStyle w:val="44"/>
          <w:color w:val="auto"/>
          <w:kern w:val="0"/>
          <w:sz w:val="24"/>
          <w:szCs w:val="24"/>
          <w:highlight w:val="none"/>
        </w:rPr>
        <w:t xml:space="preserve">投标人代表（签字）： </w:t>
      </w:r>
      <w:r>
        <w:rPr>
          <w:rStyle w:val="44"/>
          <w:rFonts w:hint="eastAsia"/>
          <w:color w:val="auto"/>
          <w:kern w:val="0"/>
          <w:sz w:val="24"/>
          <w:szCs w:val="24"/>
          <w:highlight w:val="none"/>
        </w:rPr>
        <w:t xml:space="preserve">          </w:t>
      </w:r>
      <w:r>
        <w:rPr>
          <w:rStyle w:val="44"/>
          <w:color w:val="auto"/>
          <w:kern w:val="0"/>
          <w:sz w:val="24"/>
          <w:szCs w:val="24"/>
          <w:highlight w:val="none"/>
        </w:rPr>
        <w:t>日期：</w:t>
      </w:r>
    </w:p>
    <w:p w14:paraId="6B93BDB9">
      <w:pPr>
        <w:shd w:val="clear" w:color="auto" w:fill="auto"/>
        <w:snapToGrid w:val="0"/>
        <w:rPr>
          <w:rStyle w:val="44"/>
          <w:rFonts w:ascii="宋体" w:hAnsi="宋体"/>
          <w:color w:val="auto"/>
          <w:sz w:val="24"/>
          <w:szCs w:val="24"/>
          <w:highlight w:val="none"/>
        </w:rPr>
      </w:pPr>
    </w:p>
    <w:p w14:paraId="523AEE0F">
      <w:pPr>
        <w:shd w:val="clear" w:color="auto" w:fill="auto"/>
        <w:snapToGrid w:val="0"/>
        <w:rPr>
          <w:rStyle w:val="44"/>
          <w:b/>
          <w:color w:val="auto"/>
          <w:sz w:val="24"/>
          <w:szCs w:val="24"/>
          <w:highlight w:val="none"/>
        </w:rPr>
      </w:pPr>
    </w:p>
    <w:p w14:paraId="270B4D65">
      <w:pPr>
        <w:shd w:val="clear" w:color="auto" w:fill="auto"/>
        <w:snapToGrid w:val="0"/>
        <w:rPr>
          <w:rStyle w:val="44"/>
          <w:rFonts w:ascii="宋体" w:hAnsi="宋体"/>
          <w:color w:val="auto"/>
          <w:sz w:val="24"/>
          <w:szCs w:val="24"/>
          <w:highlight w:val="none"/>
        </w:rPr>
      </w:pPr>
    </w:p>
    <w:p w14:paraId="60DBBDAA">
      <w:pPr>
        <w:shd w:val="clear" w:color="auto" w:fill="auto"/>
        <w:snapToGrid w:val="0"/>
        <w:rPr>
          <w:rStyle w:val="44"/>
          <w:rFonts w:ascii="宋体" w:hAnsi="宋体"/>
          <w:color w:val="auto"/>
          <w:sz w:val="24"/>
          <w:szCs w:val="24"/>
          <w:highlight w:val="none"/>
        </w:rPr>
      </w:pPr>
    </w:p>
    <w:p w14:paraId="7869B746">
      <w:pPr>
        <w:shd w:val="clear" w:color="auto" w:fill="auto"/>
        <w:snapToGrid w:val="0"/>
        <w:rPr>
          <w:rStyle w:val="44"/>
          <w:rFonts w:ascii="宋体" w:hAnsi="宋体"/>
          <w:color w:val="auto"/>
          <w:sz w:val="24"/>
          <w:szCs w:val="24"/>
          <w:highlight w:val="none"/>
        </w:rPr>
      </w:pPr>
    </w:p>
    <w:p w14:paraId="512FF27E">
      <w:pPr>
        <w:shd w:val="clear" w:color="auto" w:fill="auto"/>
        <w:snapToGrid w:val="0"/>
        <w:rPr>
          <w:rStyle w:val="44"/>
          <w:rFonts w:ascii="宋体" w:hAnsi="宋体"/>
          <w:color w:val="auto"/>
          <w:sz w:val="24"/>
          <w:szCs w:val="24"/>
          <w:highlight w:val="none"/>
        </w:rPr>
      </w:pPr>
    </w:p>
    <w:p w14:paraId="0B80ABEE">
      <w:pPr>
        <w:shd w:val="clear" w:color="auto" w:fill="auto"/>
        <w:snapToGrid w:val="0"/>
        <w:rPr>
          <w:rStyle w:val="44"/>
          <w:rFonts w:ascii="宋体" w:hAnsi="宋体"/>
          <w:color w:val="auto"/>
          <w:sz w:val="24"/>
          <w:szCs w:val="24"/>
          <w:highlight w:val="none"/>
        </w:rPr>
      </w:pPr>
    </w:p>
    <w:p w14:paraId="3C19C195">
      <w:pPr>
        <w:shd w:val="clear" w:color="auto" w:fill="auto"/>
        <w:snapToGrid w:val="0"/>
        <w:rPr>
          <w:rStyle w:val="44"/>
          <w:rFonts w:ascii="宋体" w:hAnsi="宋体"/>
          <w:color w:val="auto"/>
          <w:sz w:val="24"/>
          <w:szCs w:val="24"/>
          <w:highlight w:val="none"/>
        </w:rPr>
      </w:pPr>
    </w:p>
    <w:p w14:paraId="60F1CD04">
      <w:pPr>
        <w:shd w:val="clear" w:color="auto" w:fill="auto"/>
        <w:snapToGrid w:val="0"/>
        <w:rPr>
          <w:rStyle w:val="44"/>
          <w:rFonts w:ascii="宋体" w:hAnsi="宋体"/>
          <w:color w:val="auto"/>
          <w:sz w:val="24"/>
          <w:szCs w:val="24"/>
          <w:highlight w:val="none"/>
        </w:rPr>
      </w:pPr>
    </w:p>
    <w:p w14:paraId="5615FA5F">
      <w:pPr>
        <w:shd w:val="clear" w:color="auto" w:fill="auto"/>
        <w:snapToGrid w:val="0"/>
        <w:rPr>
          <w:rStyle w:val="44"/>
          <w:rFonts w:ascii="宋体" w:hAnsi="宋体"/>
          <w:color w:val="auto"/>
          <w:sz w:val="24"/>
          <w:szCs w:val="24"/>
          <w:highlight w:val="none"/>
        </w:rPr>
      </w:pPr>
    </w:p>
    <w:p w14:paraId="2F1D42DF">
      <w:pPr>
        <w:shd w:val="clear" w:color="auto" w:fill="auto"/>
        <w:snapToGrid w:val="0"/>
        <w:rPr>
          <w:rStyle w:val="44"/>
          <w:rFonts w:ascii="宋体" w:hAnsi="宋体"/>
          <w:color w:val="auto"/>
          <w:sz w:val="24"/>
          <w:szCs w:val="24"/>
          <w:highlight w:val="none"/>
        </w:rPr>
      </w:pPr>
    </w:p>
    <w:p w14:paraId="5EA8F977">
      <w:pPr>
        <w:shd w:val="clear" w:color="auto" w:fill="auto"/>
        <w:snapToGrid w:val="0"/>
        <w:rPr>
          <w:rStyle w:val="44"/>
          <w:rFonts w:ascii="宋体" w:hAnsi="宋体"/>
          <w:color w:val="auto"/>
          <w:sz w:val="24"/>
          <w:szCs w:val="24"/>
          <w:highlight w:val="none"/>
        </w:rPr>
      </w:pPr>
    </w:p>
    <w:p w14:paraId="35D93F8A">
      <w:pPr>
        <w:shd w:val="clear" w:color="auto" w:fill="auto"/>
        <w:snapToGrid w:val="0"/>
        <w:rPr>
          <w:rStyle w:val="44"/>
          <w:rFonts w:ascii="宋体" w:hAnsi="宋体"/>
          <w:color w:val="auto"/>
          <w:sz w:val="24"/>
          <w:szCs w:val="24"/>
          <w:highlight w:val="none"/>
        </w:rPr>
      </w:pPr>
    </w:p>
    <w:p w14:paraId="03BE0A6E">
      <w:pPr>
        <w:shd w:val="clear" w:color="auto" w:fill="auto"/>
        <w:snapToGrid w:val="0"/>
        <w:rPr>
          <w:rStyle w:val="44"/>
          <w:rFonts w:ascii="宋体" w:hAnsi="宋体"/>
          <w:color w:val="auto"/>
          <w:sz w:val="24"/>
          <w:szCs w:val="24"/>
          <w:highlight w:val="none"/>
        </w:rPr>
      </w:pPr>
    </w:p>
    <w:p w14:paraId="69B2003F">
      <w:pPr>
        <w:shd w:val="clear" w:color="auto" w:fill="auto"/>
        <w:snapToGrid w:val="0"/>
        <w:rPr>
          <w:rStyle w:val="44"/>
          <w:rFonts w:ascii="宋体" w:hAnsi="宋体"/>
          <w:color w:val="auto"/>
          <w:sz w:val="24"/>
          <w:szCs w:val="24"/>
          <w:highlight w:val="none"/>
        </w:rPr>
      </w:pPr>
    </w:p>
    <w:p w14:paraId="1EA3C2A7">
      <w:pPr>
        <w:shd w:val="clear" w:color="auto" w:fill="auto"/>
        <w:snapToGrid w:val="0"/>
        <w:rPr>
          <w:rStyle w:val="44"/>
          <w:rFonts w:ascii="宋体" w:hAnsi="宋体"/>
          <w:color w:val="auto"/>
          <w:sz w:val="24"/>
          <w:szCs w:val="24"/>
          <w:highlight w:val="none"/>
        </w:rPr>
      </w:pPr>
    </w:p>
    <w:p w14:paraId="6DD11213">
      <w:pPr>
        <w:shd w:val="clear" w:color="auto" w:fill="auto"/>
        <w:snapToGrid w:val="0"/>
        <w:rPr>
          <w:rStyle w:val="44"/>
          <w:rFonts w:ascii="宋体" w:hAnsi="宋体"/>
          <w:color w:val="auto"/>
          <w:sz w:val="24"/>
          <w:szCs w:val="24"/>
          <w:highlight w:val="none"/>
        </w:rPr>
      </w:pPr>
    </w:p>
    <w:p w14:paraId="63ACA468">
      <w:pPr>
        <w:shd w:val="clear" w:color="auto" w:fill="auto"/>
        <w:snapToGrid w:val="0"/>
        <w:rPr>
          <w:rStyle w:val="44"/>
          <w:rFonts w:ascii="宋体" w:hAnsi="宋体"/>
          <w:color w:val="auto"/>
          <w:sz w:val="24"/>
          <w:szCs w:val="24"/>
          <w:highlight w:val="none"/>
        </w:rPr>
      </w:pPr>
    </w:p>
    <w:p w14:paraId="44758B32">
      <w:pPr>
        <w:shd w:val="clear" w:color="auto" w:fill="auto"/>
        <w:snapToGrid w:val="0"/>
        <w:rPr>
          <w:rStyle w:val="44"/>
          <w:rFonts w:hint="eastAsia" w:ascii="宋体" w:hAnsi="宋体"/>
          <w:color w:val="auto"/>
          <w:sz w:val="24"/>
          <w:szCs w:val="24"/>
          <w:highlight w:val="none"/>
        </w:rPr>
      </w:pPr>
    </w:p>
    <w:p w14:paraId="5F8B70CC">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附件5</w:t>
      </w:r>
    </w:p>
    <w:p w14:paraId="12E19E68">
      <w:pPr>
        <w:shd w:val="clear" w:color="auto" w:fill="auto"/>
        <w:snapToGrid w:val="0"/>
        <w:spacing w:line="500" w:lineRule="exact"/>
        <w:jc w:val="center"/>
        <w:rPr>
          <w:rStyle w:val="44"/>
          <w:rFonts w:ascii="宋体" w:hAnsi="宋体"/>
          <w:b/>
          <w:color w:val="auto"/>
          <w:sz w:val="24"/>
          <w:szCs w:val="24"/>
          <w:highlight w:val="none"/>
        </w:rPr>
      </w:pPr>
      <w:r>
        <w:rPr>
          <w:rStyle w:val="44"/>
          <w:rFonts w:ascii="宋体" w:hAnsi="宋体"/>
          <w:b/>
          <w:color w:val="auto"/>
          <w:sz w:val="24"/>
          <w:szCs w:val="24"/>
          <w:highlight w:val="none"/>
        </w:rPr>
        <w:t>招标服务费承诺书</w:t>
      </w:r>
    </w:p>
    <w:p w14:paraId="4C5D6449">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419BBF11">
      <w:pPr>
        <w:shd w:val="clear" w:color="auto" w:fill="auto"/>
        <w:snapToGrid w:val="0"/>
        <w:spacing w:line="500" w:lineRule="exact"/>
        <w:ind w:firstLine="480" w:firstLineChars="200"/>
        <w:rPr>
          <w:rStyle w:val="44"/>
          <w:rFonts w:ascii="宋体" w:hAnsi="宋体"/>
          <w:color w:val="auto"/>
          <w:sz w:val="24"/>
          <w:szCs w:val="24"/>
          <w:highlight w:val="none"/>
        </w:rPr>
      </w:pPr>
      <w:r>
        <w:rPr>
          <w:rStyle w:val="44"/>
          <w:rFonts w:ascii="宋体" w:hAnsi="宋体"/>
          <w:color w:val="auto"/>
          <w:sz w:val="24"/>
          <w:szCs w:val="24"/>
          <w:highlight w:val="none"/>
        </w:rPr>
        <w:t>我们在贵公司组织的</w:t>
      </w:r>
      <w:r>
        <w:rPr>
          <w:rStyle w:val="44"/>
          <w:rFonts w:ascii="宋体" w:hAnsi="宋体"/>
          <w:color w:val="auto"/>
          <w:sz w:val="24"/>
          <w:szCs w:val="24"/>
          <w:highlight w:val="none"/>
          <w:u w:val="single" w:color="000000"/>
        </w:rPr>
        <w:t xml:space="preserve">         项目</w:t>
      </w:r>
      <w:r>
        <w:rPr>
          <w:rStyle w:val="44"/>
          <w:rFonts w:ascii="宋体" w:hAnsi="宋体"/>
          <w:color w:val="auto"/>
          <w:sz w:val="24"/>
          <w:szCs w:val="24"/>
          <w:highlight w:val="none"/>
        </w:rPr>
        <w:t>招标中投标（</w:t>
      </w:r>
      <w:r>
        <w:rPr>
          <w:rStyle w:val="44"/>
          <w:rFonts w:ascii="宋体" w:hAnsi="宋体"/>
          <w:color w:val="auto"/>
          <w:sz w:val="24"/>
          <w:szCs w:val="24"/>
          <w:highlight w:val="none"/>
          <w:u w:val="single" w:color="000000"/>
        </w:rPr>
        <w:t xml:space="preserve">招标编号：          </w:t>
      </w:r>
      <w:r>
        <w:rPr>
          <w:rStyle w:val="44"/>
          <w:rFonts w:ascii="宋体" w:hAnsi="宋体"/>
          <w:color w:val="auto"/>
          <w:sz w:val="24"/>
          <w:szCs w:val="24"/>
          <w:highlight w:val="none"/>
        </w:rPr>
        <w:t>），如获中标，我们保证按招标文件规定的时间和服务费的收取标准在领取中标通知书的同时，以</w:t>
      </w:r>
      <w:r>
        <w:rPr>
          <w:rStyle w:val="44"/>
          <w:rFonts w:hint="eastAsia" w:ascii="宋体" w:hAnsi="宋体"/>
          <w:color w:val="auto"/>
          <w:sz w:val="24"/>
          <w:szCs w:val="24"/>
          <w:highlight w:val="none"/>
          <w:lang w:eastAsia="zh-CN"/>
        </w:rPr>
        <w:t>银行转账</w:t>
      </w:r>
      <w:r>
        <w:rPr>
          <w:rStyle w:val="44"/>
          <w:rFonts w:ascii="宋体" w:hAnsi="宋体"/>
          <w:color w:val="auto"/>
          <w:sz w:val="24"/>
          <w:szCs w:val="24"/>
          <w:highlight w:val="none"/>
        </w:rPr>
        <w:t>、现金或经贵公司认可的其他付款方式，向贵公司缴交中标服务费。</w:t>
      </w:r>
    </w:p>
    <w:p w14:paraId="50F84D76">
      <w:pPr>
        <w:shd w:val="clear" w:color="auto" w:fill="auto"/>
        <w:snapToGrid w:val="0"/>
        <w:spacing w:line="500" w:lineRule="exact"/>
        <w:ind w:firstLine="480" w:firstLineChars="200"/>
        <w:rPr>
          <w:rStyle w:val="44"/>
          <w:rFonts w:ascii="宋体" w:hAnsi="宋体"/>
          <w:bCs/>
          <w:color w:val="auto"/>
          <w:kern w:val="0"/>
          <w:sz w:val="24"/>
          <w:szCs w:val="24"/>
          <w:highlight w:val="none"/>
        </w:rPr>
      </w:pPr>
      <w:r>
        <w:rPr>
          <w:rStyle w:val="44"/>
          <w:rFonts w:ascii="宋体" w:hAnsi="宋体"/>
          <w:bCs/>
          <w:color w:val="auto"/>
          <w:kern w:val="0"/>
          <w:sz w:val="24"/>
          <w:szCs w:val="24"/>
          <w:highlight w:val="none"/>
        </w:rPr>
        <w:t>我方如违反承诺，所提交的上述项目的投标保证金将不予退还我方，还愿赔偿</w:t>
      </w:r>
      <w:r>
        <w:rPr>
          <w:rStyle w:val="44"/>
          <w:rFonts w:hint="eastAsia" w:ascii="宋体" w:hAnsi="宋体"/>
          <w:bCs/>
          <w:color w:val="auto"/>
          <w:kern w:val="0"/>
          <w:sz w:val="24"/>
          <w:szCs w:val="24"/>
          <w:highlight w:val="none"/>
        </w:rPr>
        <w:t>福建方兴</w:t>
      </w:r>
      <w:r>
        <w:rPr>
          <w:rStyle w:val="44"/>
          <w:rFonts w:ascii="宋体" w:hAnsi="宋体"/>
          <w:bCs/>
          <w:color w:val="auto"/>
          <w:kern w:val="0"/>
          <w:sz w:val="24"/>
          <w:szCs w:val="24"/>
          <w:highlight w:val="none"/>
        </w:rPr>
        <w:t>招标代理有限公司本项目中标服务费200%的赔偿款。我方对此无异议。</w:t>
      </w:r>
    </w:p>
    <w:p w14:paraId="7DB1CDC9">
      <w:pPr>
        <w:shd w:val="clear" w:color="auto" w:fill="auto"/>
        <w:snapToGrid w:val="0"/>
        <w:spacing w:line="500" w:lineRule="exact"/>
        <w:ind w:firstLine="480" w:firstLineChars="200"/>
        <w:rPr>
          <w:rStyle w:val="44"/>
          <w:rFonts w:ascii="宋体" w:hAnsi="宋体"/>
          <w:bCs/>
          <w:color w:val="auto"/>
          <w:kern w:val="0"/>
          <w:sz w:val="24"/>
          <w:szCs w:val="24"/>
          <w:highlight w:val="none"/>
        </w:rPr>
      </w:pPr>
      <w:r>
        <w:rPr>
          <w:rStyle w:val="44"/>
          <w:rFonts w:ascii="宋体" w:hAnsi="宋体"/>
          <w:bCs/>
          <w:color w:val="auto"/>
          <w:kern w:val="0"/>
          <w:sz w:val="24"/>
          <w:szCs w:val="24"/>
          <w:highlight w:val="none"/>
        </w:rPr>
        <w:t>特此承诺！</w:t>
      </w:r>
    </w:p>
    <w:p w14:paraId="355AD9A1">
      <w:pPr>
        <w:shd w:val="clear" w:color="auto" w:fill="auto"/>
        <w:snapToGrid w:val="0"/>
        <w:spacing w:line="500" w:lineRule="exact"/>
        <w:rPr>
          <w:rStyle w:val="44"/>
          <w:rFonts w:ascii="宋体" w:hAnsi="宋体"/>
          <w:bCs/>
          <w:color w:val="auto"/>
          <w:kern w:val="0"/>
          <w:sz w:val="24"/>
          <w:szCs w:val="24"/>
          <w:highlight w:val="none"/>
        </w:rPr>
      </w:pPr>
    </w:p>
    <w:p w14:paraId="0AE5274E">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投标人：（全称并加盖公章）</w:t>
      </w:r>
    </w:p>
    <w:p w14:paraId="31F8746B">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地址：邮编：</w:t>
      </w:r>
    </w:p>
    <w:p w14:paraId="52966887">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电话：传真：</w:t>
      </w:r>
    </w:p>
    <w:p w14:paraId="5855B088">
      <w:pPr>
        <w:shd w:val="clear" w:color="auto" w:fill="auto"/>
        <w:snapToGrid w:val="0"/>
        <w:spacing w:line="500" w:lineRule="exact"/>
        <w:rPr>
          <w:rStyle w:val="44"/>
          <w:color w:val="auto"/>
          <w:kern w:val="0"/>
          <w:sz w:val="24"/>
          <w:szCs w:val="24"/>
          <w:highlight w:val="none"/>
          <w:u w:val="single" w:color="000000"/>
        </w:rPr>
      </w:pPr>
      <w:r>
        <w:rPr>
          <w:rStyle w:val="44"/>
          <w:color w:val="auto"/>
          <w:kern w:val="0"/>
          <w:sz w:val="24"/>
          <w:szCs w:val="24"/>
          <w:highlight w:val="none"/>
        </w:rPr>
        <w:t>投标人代表（签字）： 日期：</w:t>
      </w:r>
    </w:p>
    <w:p w14:paraId="28235FF2">
      <w:pPr>
        <w:shd w:val="clear" w:color="auto" w:fill="auto"/>
        <w:snapToGrid w:val="0"/>
        <w:rPr>
          <w:rStyle w:val="44"/>
          <w:rFonts w:ascii="宋体" w:hAnsi="宋体"/>
          <w:color w:val="auto"/>
          <w:sz w:val="24"/>
          <w:szCs w:val="24"/>
          <w:highlight w:val="none"/>
          <w:u w:val="dotted" w:color="000000"/>
        </w:rPr>
      </w:pPr>
    </w:p>
    <w:p w14:paraId="1218FA3C">
      <w:pPr>
        <w:shd w:val="clear" w:color="auto" w:fill="auto"/>
        <w:snapToGrid w:val="0"/>
        <w:rPr>
          <w:rStyle w:val="44"/>
          <w:rFonts w:ascii="宋体" w:hAnsi="宋体"/>
          <w:color w:val="auto"/>
          <w:sz w:val="24"/>
          <w:szCs w:val="24"/>
          <w:highlight w:val="none"/>
          <w:u w:val="dotted" w:color="000000"/>
        </w:rPr>
      </w:pPr>
    </w:p>
    <w:p w14:paraId="6B89A8EF">
      <w:pPr>
        <w:shd w:val="clear" w:color="auto" w:fill="auto"/>
        <w:snapToGrid w:val="0"/>
        <w:rPr>
          <w:rStyle w:val="44"/>
          <w:rFonts w:ascii="宋体" w:hAnsi="宋体"/>
          <w:color w:val="auto"/>
          <w:sz w:val="24"/>
          <w:szCs w:val="24"/>
          <w:highlight w:val="none"/>
          <w:u w:val="dotted" w:color="000000"/>
        </w:rPr>
      </w:pPr>
    </w:p>
    <w:p w14:paraId="02B20D57">
      <w:pPr>
        <w:shd w:val="clear" w:color="auto" w:fill="auto"/>
        <w:snapToGrid w:val="0"/>
        <w:rPr>
          <w:rStyle w:val="44"/>
          <w:rFonts w:ascii="宋体" w:hAnsi="宋体"/>
          <w:color w:val="auto"/>
          <w:sz w:val="24"/>
          <w:szCs w:val="24"/>
          <w:highlight w:val="none"/>
          <w:u w:val="dotted" w:color="000000"/>
        </w:rPr>
      </w:pPr>
    </w:p>
    <w:p w14:paraId="662F83C3">
      <w:pPr>
        <w:shd w:val="clear" w:color="auto" w:fill="auto"/>
        <w:snapToGrid w:val="0"/>
        <w:rPr>
          <w:rStyle w:val="44"/>
          <w:rFonts w:ascii="宋体" w:hAnsi="宋体"/>
          <w:color w:val="auto"/>
          <w:sz w:val="24"/>
          <w:szCs w:val="24"/>
          <w:highlight w:val="none"/>
          <w:u w:val="dotted" w:color="000000"/>
        </w:rPr>
      </w:pPr>
    </w:p>
    <w:p w14:paraId="31DF3D85">
      <w:pPr>
        <w:shd w:val="clear" w:color="auto" w:fill="auto"/>
        <w:snapToGrid w:val="0"/>
        <w:rPr>
          <w:rStyle w:val="44"/>
          <w:rFonts w:ascii="宋体" w:hAnsi="宋体"/>
          <w:color w:val="auto"/>
          <w:sz w:val="24"/>
          <w:szCs w:val="24"/>
          <w:highlight w:val="none"/>
          <w:u w:val="dotted" w:color="000000"/>
        </w:rPr>
      </w:pPr>
    </w:p>
    <w:p w14:paraId="02556430">
      <w:pPr>
        <w:shd w:val="clear" w:color="auto" w:fill="auto"/>
        <w:snapToGrid w:val="0"/>
        <w:rPr>
          <w:rStyle w:val="44"/>
          <w:rFonts w:ascii="宋体" w:hAnsi="宋体"/>
          <w:color w:val="auto"/>
          <w:sz w:val="24"/>
          <w:szCs w:val="24"/>
          <w:highlight w:val="none"/>
          <w:u w:val="dotted" w:color="000000"/>
        </w:rPr>
      </w:pPr>
    </w:p>
    <w:p w14:paraId="5CA410C6">
      <w:pPr>
        <w:shd w:val="clear" w:color="auto" w:fill="auto"/>
        <w:snapToGrid w:val="0"/>
        <w:rPr>
          <w:rStyle w:val="44"/>
          <w:rFonts w:ascii="宋体" w:hAnsi="宋体"/>
          <w:color w:val="auto"/>
          <w:sz w:val="24"/>
          <w:szCs w:val="24"/>
          <w:highlight w:val="none"/>
          <w:u w:val="dotted" w:color="000000"/>
        </w:rPr>
      </w:pPr>
    </w:p>
    <w:p w14:paraId="7F24A14D">
      <w:pPr>
        <w:shd w:val="clear" w:color="auto" w:fill="auto"/>
        <w:snapToGrid w:val="0"/>
        <w:rPr>
          <w:rStyle w:val="44"/>
          <w:rFonts w:ascii="宋体" w:hAnsi="宋体"/>
          <w:color w:val="auto"/>
          <w:sz w:val="24"/>
          <w:szCs w:val="24"/>
          <w:highlight w:val="none"/>
          <w:u w:val="dotted" w:color="000000"/>
        </w:rPr>
      </w:pPr>
    </w:p>
    <w:p w14:paraId="27AA9D3B">
      <w:pPr>
        <w:shd w:val="clear" w:color="auto" w:fill="auto"/>
        <w:snapToGrid w:val="0"/>
        <w:rPr>
          <w:rStyle w:val="44"/>
          <w:rFonts w:ascii="宋体" w:hAnsi="宋体"/>
          <w:color w:val="auto"/>
          <w:sz w:val="24"/>
          <w:szCs w:val="24"/>
          <w:highlight w:val="none"/>
          <w:u w:val="dotted" w:color="000000"/>
        </w:rPr>
      </w:pPr>
    </w:p>
    <w:p w14:paraId="48A944D6">
      <w:pPr>
        <w:pStyle w:val="6"/>
        <w:shd w:val="clear" w:color="auto" w:fill="auto"/>
        <w:rPr>
          <w:color w:val="auto"/>
          <w:highlight w:val="none"/>
        </w:rPr>
      </w:pPr>
    </w:p>
    <w:p w14:paraId="3A5C4E06">
      <w:pPr>
        <w:shd w:val="clear" w:color="auto" w:fill="auto"/>
        <w:snapToGrid w:val="0"/>
        <w:rPr>
          <w:rStyle w:val="44"/>
          <w:rFonts w:ascii="宋体" w:hAnsi="宋体"/>
          <w:color w:val="auto"/>
          <w:sz w:val="24"/>
          <w:szCs w:val="24"/>
          <w:highlight w:val="none"/>
          <w:u w:val="dotted" w:color="000000"/>
        </w:rPr>
      </w:pPr>
    </w:p>
    <w:p w14:paraId="2C7F7E73">
      <w:pPr>
        <w:shd w:val="clear" w:color="auto" w:fill="auto"/>
        <w:snapToGrid w:val="0"/>
        <w:rPr>
          <w:rStyle w:val="44"/>
          <w:rFonts w:ascii="宋体" w:hAnsi="宋体"/>
          <w:color w:val="auto"/>
          <w:sz w:val="24"/>
          <w:szCs w:val="24"/>
          <w:highlight w:val="none"/>
          <w:u w:val="dotted" w:color="000000"/>
        </w:rPr>
      </w:pPr>
    </w:p>
    <w:p w14:paraId="153EE873">
      <w:pPr>
        <w:shd w:val="clear" w:color="auto" w:fill="auto"/>
        <w:snapToGrid w:val="0"/>
        <w:rPr>
          <w:rStyle w:val="44"/>
          <w:rFonts w:ascii="宋体" w:hAnsi="宋体"/>
          <w:color w:val="auto"/>
          <w:sz w:val="24"/>
          <w:szCs w:val="24"/>
          <w:highlight w:val="none"/>
          <w:u w:val="dotted" w:color="000000"/>
        </w:rPr>
      </w:pPr>
    </w:p>
    <w:p w14:paraId="007D6E1F">
      <w:pPr>
        <w:shd w:val="clear" w:color="auto" w:fill="auto"/>
        <w:snapToGrid w:val="0"/>
        <w:rPr>
          <w:rStyle w:val="44"/>
          <w:rFonts w:ascii="宋体" w:hAnsi="宋体"/>
          <w:color w:val="auto"/>
          <w:sz w:val="24"/>
          <w:szCs w:val="24"/>
          <w:highlight w:val="none"/>
          <w:u w:val="dotted" w:color="000000"/>
        </w:rPr>
      </w:pPr>
    </w:p>
    <w:p w14:paraId="1F638EA2">
      <w:pPr>
        <w:shd w:val="clear" w:color="auto" w:fill="auto"/>
        <w:snapToGrid w:val="0"/>
        <w:rPr>
          <w:rStyle w:val="44"/>
          <w:rFonts w:ascii="宋体" w:hAnsi="宋体"/>
          <w:color w:val="auto"/>
          <w:sz w:val="24"/>
          <w:szCs w:val="24"/>
          <w:highlight w:val="none"/>
          <w:u w:val="dotted" w:color="000000"/>
        </w:rPr>
      </w:pPr>
    </w:p>
    <w:p w14:paraId="05BF2457">
      <w:pPr>
        <w:shd w:val="clear" w:color="auto" w:fill="auto"/>
        <w:snapToGrid w:val="0"/>
        <w:rPr>
          <w:rStyle w:val="44"/>
          <w:rFonts w:ascii="宋体" w:hAnsi="宋体"/>
          <w:color w:val="auto"/>
          <w:sz w:val="24"/>
          <w:szCs w:val="24"/>
          <w:highlight w:val="none"/>
          <w:u w:val="dotted" w:color="000000"/>
        </w:rPr>
      </w:pPr>
    </w:p>
    <w:p w14:paraId="60BF9E67">
      <w:pPr>
        <w:shd w:val="clear" w:color="auto" w:fill="auto"/>
        <w:snapToGrid w:val="0"/>
        <w:rPr>
          <w:rStyle w:val="44"/>
          <w:rFonts w:ascii="宋体" w:hAnsi="宋体"/>
          <w:color w:val="auto"/>
          <w:sz w:val="24"/>
          <w:szCs w:val="24"/>
          <w:highlight w:val="none"/>
          <w:u w:val="dotted" w:color="000000"/>
        </w:rPr>
      </w:pPr>
    </w:p>
    <w:p w14:paraId="5FE91B5B">
      <w:pPr>
        <w:shd w:val="clear" w:color="auto" w:fill="auto"/>
        <w:snapToGrid w:val="0"/>
        <w:rPr>
          <w:rStyle w:val="44"/>
          <w:rFonts w:ascii="宋体" w:hAnsi="宋体"/>
          <w:color w:val="auto"/>
          <w:sz w:val="24"/>
          <w:szCs w:val="24"/>
          <w:highlight w:val="none"/>
          <w:u w:val="dotted" w:color="000000"/>
        </w:rPr>
      </w:pPr>
    </w:p>
    <w:p w14:paraId="26812FE2">
      <w:pPr>
        <w:shd w:val="clear" w:color="auto" w:fill="auto"/>
        <w:snapToGrid w:val="0"/>
        <w:rPr>
          <w:rStyle w:val="44"/>
          <w:rFonts w:ascii="宋体" w:hAnsi="宋体"/>
          <w:color w:val="auto"/>
          <w:sz w:val="24"/>
          <w:szCs w:val="24"/>
          <w:highlight w:val="none"/>
          <w:u w:val="dotted" w:color="000000"/>
        </w:rPr>
      </w:pPr>
    </w:p>
    <w:p w14:paraId="1D814617">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附件6</w:t>
      </w:r>
    </w:p>
    <w:p w14:paraId="0EF43F68">
      <w:pPr>
        <w:shd w:val="clear" w:color="auto" w:fill="auto"/>
        <w:snapToGrid w:val="0"/>
        <w:jc w:val="center"/>
        <w:rPr>
          <w:rStyle w:val="44"/>
          <w:rFonts w:ascii="宋体" w:hAnsi="宋体"/>
          <w:b/>
          <w:color w:val="auto"/>
          <w:sz w:val="24"/>
          <w:szCs w:val="24"/>
          <w:highlight w:val="none"/>
        </w:rPr>
      </w:pPr>
      <w:r>
        <w:rPr>
          <w:rStyle w:val="44"/>
          <w:rFonts w:ascii="宋体" w:hAnsi="宋体"/>
          <w:b/>
          <w:color w:val="auto"/>
          <w:sz w:val="24"/>
          <w:szCs w:val="24"/>
          <w:highlight w:val="none"/>
        </w:rPr>
        <w:t>投 标 保 证 金</w:t>
      </w:r>
    </w:p>
    <w:p w14:paraId="161D1464">
      <w:pPr>
        <w:shd w:val="clear" w:color="auto" w:fill="auto"/>
        <w:snapToGrid w:val="0"/>
        <w:rPr>
          <w:rStyle w:val="44"/>
          <w:rFonts w:ascii="宋体" w:hAnsi="宋体"/>
          <w:color w:val="auto"/>
          <w:sz w:val="24"/>
          <w:szCs w:val="24"/>
          <w:highlight w:val="none"/>
        </w:rPr>
      </w:pPr>
    </w:p>
    <w:p w14:paraId="73A29498">
      <w:pPr>
        <w:shd w:val="clear" w:color="auto" w:fill="auto"/>
        <w:snapToGrid w:val="0"/>
        <w:spacing w:line="500" w:lineRule="exact"/>
        <w:rPr>
          <w:rStyle w:val="44"/>
          <w:rFonts w:ascii="宋体" w:hAnsi="宋体"/>
          <w:color w:val="auto"/>
          <w:sz w:val="24"/>
          <w:szCs w:val="24"/>
          <w:highlight w:val="none"/>
        </w:rPr>
      </w:pPr>
      <w:r>
        <w:rPr>
          <w:rStyle w:val="44"/>
          <w:rFonts w:ascii="宋体" w:hAnsi="宋体"/>
          <w:color w:val="auto"/>
          <w:sz w:val="24"/>
          <w:szCs w:val="24"/>
          <w:highlight w:val="none"/>
        </w:rPr>
        <w:t>致：</w:t>
      </w:r>
      <w:r>
        <w:rPr>
          <w:rStyle w:val="44"/>
          <w:rFonts w:hint="eastAsia" w:ascii="宋体" w:hAnsi="宋体"/>
          <w:bCs/>
          <w:color w:val="auto"/>
          <w:sz w:val="24"/>
          <w:szCs w:val="24"/>
          <w:highlight w:val="none"/>
        </w:rPr>
        <w:t>福建方兴</w:t>
      </w:r>
      <w:r>
        <w:rPr>
          <w:rStyle w:val="44"/>
          <w:rFonts w:ascii="宋体" w:hAnsi="宋体"/>
          <w:color w:val="auto"/>
          <w:sz w:val="24"/>
          <w:szCs w:val="24"/>
          <w:highlight w:val="none"/>
        </w:rPr>
        <w:t>招标代理有限公司：</w:t>
      </w:r>
    </w:p>
    <w:p w14:paraId="3A03F99C">
      <w:pPr>
        <w:shd w:val="clear" w:color="auto" w:fill="auto"/>
        <w:snapToGrid w:val="0"/>
        <w:spacing w:line="500" w:lineRule="exact"/>
        <w:ind w:firstLine="480" w:firstLineChars="200"/>
        <w:rPr>
          <w:rStyle w:val="44"/>
          <w:rFonts w:ascii="宋体" w:hAnsi="宋体"/>
          <w:color w:val="auto"/>
          <w:sz w:val="24"/>
          <w:szCs w:val="24"/>
          <w:highlight w:val="none"/>
          <w:u w:val="single" w:color="000000"/>
        </w:rPr>
      </w:pPr>
      <w:r>
        <w:rPr>
          <w:rStyle w:val="44"/>
          <w:rFonts w:ascii="宋体" w:hAnsi="宋体"/>
          <w:color w:val="auto"/>
          <w:sz w:val="24"/>
          <w:szCs w:val="24"/>
          <w:highlight w:val="none"/>
        </w:rPr>
        <w:t>我方为</w:t>
      </w:r>
      <w:r>
        <w:rPr>
          <w:rStyle w:val="44"/>
          <w:rFonts w:ascii="宋体" w:hAnsi="宋体"/>
          <w:color w:val="auto"/>
          <w:sz w:val="24"/>
          <w:szCs w:val="24"/>
          <w:highlight w:val="none"/>
          <w:u w:val="single" w:color="000000"/>
        </w:rPr>
        <w:t xml:space="preserve">     （招标人）    </w:t>
      </w:r>
      <w:r>
        <w:rPr>
          <w:rStyle w:val="44"/>
          <w:rFonts w:ascii="宋体" w:hAnsi="宋体"/>
          <w:color w:val="auto"/>
          <w:sz w:val="24"/>
          <w:szCs w:val="24"/>
          <w:highlight w:val="none"/>
        </w:rPr>
        <w:t>的</w:t>
      </w:r>
      <w:r>
        <w:rPr>
          <w:rStyle w:val="44"/>
          <w:rFonts w:ascii="宋体" w:hAnsi="宋体"/>
          <w:color w:val="auto"/>
          <w:sz w:val="24"/>
          <w:szCs w:val="24"/>
          <w:highlight w:val="none"/>
          <w:u w:val="single" w:color="000000"/>
        </w:rPr>
        <w:t xml:space="preserve">     （项目名称）       </w:t>
      </w:r>
      <w:r>
        <w:rPr>
          <w:rStyle w:val="44"/>
          <w:rFonts w:ascii="宋体" w:hAnsi="宋体"/>
          <w:color w:val="auto"/>
          <w:sz w:val="24"/>
          <w:szCs w:val="24"/>
          <w:highlight w:val="none"/>
        </w:rPr>
        <w:t>（招标编号为</w:t>
      </w:r>
      <w:r>
        <w:rPr>
          <w:rStyle w:val="44"/>
          <w:rFonts w:ascii="宋体" w:hAnsi="宋体"/>
          <w:color w:val="auto"/>
          <w:sz w:val="24"/>
          <w:szCs w:val="24"/>
          <w:highlight w:val="none"/>
          <w:u w:val="single" w:color="000000"/>
        </w:rPr>
        <w:t xml:space="preserve">：             </w:t>
      </w:r>
      <w:r>
        <w:rPr>
          <w:rStyle w:val="44"/>
          <w:rFonts w:ascii="宋体" w:hAnsi="宋体"/>
          <w:color w:val="auto"/>
          <w:sz w:val="24"/>
          <w:szCs w:val="24"/>
          <w:highlight w:val="none"/>
        </w:rPr>
        <w:t>）所投合同包，递交保证金人民币（大写：人民币元）已于年月日以银行主动</w:t>
      </w:r>
      <w:r>
        <w:rPr>
          <w:rStyle w:val="44"/>
          <w:rFonts w:hint="eastAsia" w:ascii="宋体" w:hAnsi="宋体"/>
          <w:color w:val="auto"/>
          <w:sz w:val="24"/>
          <w:szCs w:val="24"/>
          <w:highlight w:val="none"/>
          <w:lang w:eastAsia="zh-CN"/>
        </w:rPr>
        <w:t>划账</w:t>
      </w:r>
      <w:r>
        <w:rPr>
          <w:rStyle w:val="44"/>
          <w:rFonts w:ascii="宋体" w:hAnsi="宋体"/>
          <w:color w:val="auto"/>
          <w:sz w:val="24"/>
          <w:szCs w:val="24"/>
          <w:highlight w:val="none"/>
        </w:rPr>
        <w:t>方式划入你方</w:t>
      </w:r>
      <w:r>
        <w:rPr>
          <w:rStyle w:val="44"/>
          <w:rFonts w:hint="eastAsia" w:ascii="宋体" w:hAnsi="宋体"/>
          <w:color w:val="auto"/>
          <w:sz w:val="24"/>
          <w:szCs w:val="24"/>
          <w:highlight w:val="none"/>
          <w:lang w:eastAsia="zh-CN"/>
        </w:rPr>
        <w:t>账户</w:t>
      </w:r>
      <w:r>
        <w:rPr>
          <w:rStyle w:val="44"/>
          <w:rFonts w:ascii="宋体" w:hAnsi="宋体"/>
          <w:color w:val="auto"/>
          <w:sz w:val="24"/>
          <w:szCs w:val="24"/>
          <w:highlight w:val="none"/>
        </w:rPr>
        <w:t>。</w:t>
      </w:r>
    </w:p>
    <w:p w14:paraId="5EE4FDFE">
      <w:pPr>
        <w:shd w:val="clear" w:color="auto" w:fill="auto"/>
        <w:snapToGrid w:val="0"/>
        <w:spacing w:line="500" w:lineRule="exact"/>
        <w:rPr>
          <w:rStyle w:val="44"/>
          <w:rFonts w:ascii="宋体" w:hAnsi="宋体"/>
          <w:b/>
          <w:color w:val="auto"/>
          <w:sz w:val="24"/>
          <w:szCs w:val="24"/>
          <w:highlight w:val="none"/>
          <w:u w:val="single" w:color="000000"/>
        </w:rPr>
      </w:pPr>
      <w:r>
        <w:rPr>
          <w:rStyle w:val="44"/>
          <w:rFonts w:ascii="宋体" w:hAnsi="宋体"/>
          <w:b/>
          <w:color w:val="auto"/>
          <w:sz w:val="24"/>
          <w:szCs w:val="24"/>
          <w:highlight w:val="none"/>
          <w:u w:val="single" w:color="000000"/>
        </w:rPr>
        <w:t>详见附件：银行出具的汇款单或</w:t>
      </w:r>
      <w:r>
        <w:rPr>
          <w:rStyle w:val="44"/>
          <w:rFonts w:hint="eastAsia" w:ascii="宋体" w:hAnsi="宋体"/>
          <w:b/>
          <w:color w:val="auto"/>
          <w:sz w:val="24"/>
          <w:szCs w:val="24"/>
          <w:highlight w:val="none"/>
          <w:u w:val="single" w:color="000000"/>
          <w:lang w:eastAsia="zh-CN"/>
        </w:rPr>
        <w:t>转账凭证</w:t>
      </w:r>
      <w:r>
        <w:rPr>
          <w:rStyle w:val="44"/>
          <w:rFonts w:ascii="宋体" w:hAnsi="宋体"/>
          <w:b/>
          <w:color w:val="auto"/>
          <w:sz w:val="24"/>
          <w:szCs w:val="24"/>
          <w:highlight w:val="none"/>
          <w:u w:val="single" w:color="000000"/>
        </w:rPr>
        <w:t>复印件。</w:t>
      </w:r>
    </w:p>
    <w:p w14:paraId="1D291FA0">
      <w:pPr>
        <w:shd w:val="clear" w:color="auto" w:fill="auto"/>
        <w:snapToGrid w:val="0"/>
        <w:rPr>
          <w:rStyle w:val="44"/>
          <w:rFonts w:ascii="宋体" w:hAnsi="宋体"/>
          <w:color w:val="auto"/>
          <w:sz w:val="24"/>
          <w:szCs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4"/>
      </w:tblGrid>
      <w:tr w14:paraId="4733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9" w:hRule="atLeast"/>
        </w:trPr>
        <w:tc>
          <w:tcPr>
            <w:tcW w:w="8364" w:type="dxa"/>
            <w:tcBorders>
              <w:top w:val="single" w:color="000000" w:sz="4" w:space="0"/>
              <w:left w:val="single" w:color="000000" w:sz="4" w:space="0"/>
              <w:bottom w:val="single" w:color="000000" w:sz="4" w:space="0"/>
              <w:right w:val="single" w:color="000000" w:sz="4" w:space="0"/>
            </w:tcBorders>
            <w:noWrap w:val="0"/>
            <w:vAlign w:val="center"/>
          </w:tcPr>
          <w:p w14:paraId="2466B764">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（粘贴汇款单或</w:t>
            </w:r>
            <w:r>
              <w:rPr>
                <w:rStyle w:val="44"/>
                <w:rFonts w:hint="eastAsia" w:ascii="宋体" w:hAnsi="宋体"/>
                <w:color w:val="auto"/>
                <w:sz w:val="24"/>
                <w:szCs w:val="24"/>
                <w:highlight w:val="none"/>
                <w:lang w:eastAsia="zh-CN"/>
              </w:rPr>
              <w:t>转账凭证</w:t>
            </w:r>
            <w:r>
              <w:rPr>
                <w:rStyle w:val="44"/>
                <w:rFonts w:ascii="宋体" w:hAnsi="宋体"/>
                <w:color w:val="auto"/>
                <w:sz w:val="24"/>
                <w:szCs w:val="24"/>
                <w:highlight w:val="none"/>
              </w:rPr>
              <w:t>复印件）</w:t>
            </w:r>
          </w:p>
        </w:tc>
      </w:tr>
    </w:tbl>
    <w:p w14:paraId="38B836B7">
      <w:pPr>
        <w:shd w:val="clear" w:color="auto" w:fill="auto"/>
        <w:snapToGrid w:val="0"/>
        <w:rPr>
          <w:rStyle w:val="44"/>
          <w:rFonts w:ascii="宋体" w:hAnsi="宋体"/>
          <w:color w:val="auto"/>
          <w:sz w:val="24"/>
          <w:szCs w:val="24"/>
          <w:highlight w:val="none"/>
        </w:rPr>
      </w:pPr>
    </w:p>
    <w:p w14:paraId="5F9B1AB2">
      <w:pPr>
        <w:shd w:val="clear" w:color="auto" w:fill="auto"/>
        <w:snapToGrid w:val="0"/>
        <w:rPr>
          <w:rStyle w:val="44"/>
          <w:rFonts w:ascii="宋体" w:hAnsi="宋体"/>
          <w:color w:val="auto"/>
          <w:sz w:val="24"/>
          <w:szCs w:val="24"/>
          <w:highlight w:val="none"/>
        </w:rPr>
      </w:pPr>
    </w:p>
    <w:p w14:paraId="48B2662F">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投标人名称（全称并加盖公章）：</w:t>
      </w:r>
    </w:p>
    <w:p w14:paraId="6041C352">
      <w:pPr>
        <w:shd w:val="clear" w:color="auto" w:fill="auto"/>
        <w:snapToGrid w:val="0"/>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投标人代表（签字）：</w:t>
      </w:r>
    </w:p>
    <w:p w14:paraId="109A3BD0">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日             期：      年     月     日</w:t>
      </w:r>
    </w:p>
    <w:p w14:paraId="0DBC761E">
      <w:pPr>
        <w:shd w:val="clear" w:color="auto" w:fill="auto"/>
        <w:snapToGrid w:val="0"/>
        <w:rPr>
          <w:rStyle w:val="44"/>
          <w:rFonts w:ascii="宋体" w:hAnsi="宋体"/>
          <w:color w:val="auto"/>
          <w:sz w:val="24"/>
          <w:szCs w:val="24"/>
          <w:highlight w:val="none"/>
        </w:rPr>
      </w:pPr>
    </w:p>
    <w:p w14:paraId="20FA09A1">
      <w:pPr>
        <w:shd w:val="clear" w:color="auto" w:fill="auto"/>
        <w:snapToGrid w:val="0"/>
        <w:rPr>
          <w:rStyle w:val="44"/>
          <w:rFonts w:ascii="宋体" w:hAnsi="宋体"/>
          <w:color w:val="auto"/>
          <w:sz w:val="24"/>
          <w:szCs w:val="24"/>
          <w:highlight w:val="none"/>
        </w:rPr>
      </w:pPr>
    </w:p>
    <w:p w14:paraId="3F40B45A">
      <w:pPr>
        <w:shd w:val="clear" w:color="auto" w:fill="auto"/>
        <w:snapToGrid w:val="0"/>
        <w:rPr>
          <w:rStyle w:val="44"/>
          <w:rFonts w:ascii="宋体" w:hAnsi="宋体"/>
          <w:color w:val="auto"/>
          <w:sz w:val="24"/>
          <w:szCs w:val="24"/>
          <w:highlight w:val="none"/>
        </w:rPr>
      </w:pPr>
    </w:p>
    <w:p w14:paraId="5C79E857">
      <w:pPr>
        <w:shd w:val="clear" w:color="auto" w:fill="auto"/>
        <w:snapToGrid w:val="0"/>
        <w:rPr>
          <w:rStyle w:val="44"/>
          <w:rFonts w:ascii="宋体" w:hAnsi="宋体"/>
          <w:color w:val="auto"/>
          <w:sz w:val="24"/>
          <w:szCs w:val="24"/>
          <w:highlight w:val="none"/>
        </w:rPr>
      </w:pPr>
    </w:p>
    <w:p w14:paraId="604C01C0">
      <w:pPr>
        <w:shd w:val="clear" w:color="auto" w:fill="auto"/>
        <w:snapToGrid w:val="0"/>
        <w:rPr>
          <w:rStyle w:val="44"/>
          <w:rFonts w:ascii="宋体" w:hAnsi="宋体"/>
          <w:color w:val="auto"/>
          <w:sz w:val="24"/>
          <w:szCs w:val="24"/>
          <w:highlight w:val="none"/>
        </w:rPr>
      </w:pPr>
    </w:p>
    <w:p w14:paraId="19892648">
      <w:pPr>
        <w:shd w:val="clear" w:color="auto" w:fill="auto"/>
        <w:snapToGrid w:val="0"/>
        <w:rPr>
          <w:rStyle w:val="44"/>
          <w:rFonts w:ascii="宋体" w:hAnsi="宋体"/>
          <w:color w:val="auto"/>
          <w:sz w:val="24"/>
          <w:szCs w:val="24"/>
          <w:highlight w:val="none"/>
        </w:rPr>
      </w:pPr>
    </w:p>
    <w:p w14:paraId="3CD68B87">
      <w:pPr>
        <w:shd w:val="clear" w:color="auto" w:fill="auto"/>
        <w:snapToGrid w:val="0"/>
        <w:rPr>
          <w:rStyle w:val="44"/>
          <w:rFonts w:ascii="宋体" w:hAnsi="宋体"/>
          <w:color w:val="auto"/>
          <w:sz w:val="24"/>
          <w:szCs w:val="24"/>
          <w:highlight w:val="none"/>
        </w:rPr>
      </w:pPr>
    </w:p>
    <w:p w14:paraId="48E4A162">
      <w:pPr>
        <w:shd w:val="clear" w:color="auto" w:fill="auto"/>
        <w:snapToGrid w:val="0"/>
        <w:rPr>
          <w:rStyle w:val="44"/>
          <w:rFonts w:ascii="宋体" w:hAnsi="宋体"/>
          <w:color w:val="auto"/>
          <w:sz w:val="24"/>
          <w:szCs w:val="24"/>
          <w:highlight w:val="none"/>
        </w:rPr>
      </w:pPr>
    </w:p>
    <w:p w14:paraId="3525ED1A">
      <w:pPr>
        <w:shd w:val="clear" w:color="auto" w:fill="auto"/>
        <w:snapToGrid w:val="0"/>
        <w:rPr>
          <w:rStyle w:val="44"/>
          <w:rFonts w:ascii="宋体" w:hAnsi="宋体"/>
          <w:color w:val="auto"/>
          <w:sz w:val="24"/>
          <w:szCs w:val="24"/>
          <w:highlight w:val="none"/>
        </w:rPr>
      </w:pPr>
    </w:p>
    <w:p w14:paraId="0C7CE803">
      <w:pPr>
        <w:pStyle w:val="6"/>
        <w:shd w:val="clear" w:color="auto" w:fill="auto"/>
        <w:rPr>
          <w:color w:val="auto"/>
          <w:highlight w:val="none"/>
        </w:rPr>
      </w:pPr>
    </w:p>
    <w:p w14:paraId="03917465">
      <w:pPr>
        <w:shd w:val="clear" w:color="auto" w:fill="auto"/>
        <w:snapToGrid w:val="0"/>
        <w:rPr>
          <w:rStyle w:val="44"/>
          <w:rFonts w:ascii="宋体" w:hAnsi="宋体"/>
          <w:color w:val="auto"/>
          <w:sz w:val="24"/>
          <w:szCs w:val="24"/>
          <w:highlight w:val="none"/>
        </w:rPr>
      </w:pPr>
    </w:p>
    <w:p w14:paraId="1105C2D6">
      <w:pPr>
        <w:shd w:val="clear" w:color="auto" w:fill="auto"/>
        <w:snapToGrid w:val="0"/>
        <w:rPr>
          <w:rStyle w:val="44"/>
          <w:rFonts w:ascii="宋体" w:hAnsi="宋体"/>
          <w:color w:val="auto"/>
          <w:sz w:val="24"/>
          <w:szCs w:val="24"/>
          <w:highlight w:val="none"/>
        </w:rPr>
      </w:pPr>
    </w:p>
    <w:p w14:paraId="213307AA">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附件7</w:t>
      </w:r>
    </w:p>
    <w:p w14:paraId="59336414">
      <w:pPr>
        <w:shd w:val="clear" w:color="auto" w:fill="auto"/>
        <w:snapToGrid w:val="0"/>
        <w:jc w:val="center"/>
        <w:rPr>
          <w:rStyle w:val="44"/>
          <w:rFonts w:ascii="宋体" w:hAnsi="宋体"/>
          <w:color w:val="auto"/>
          <w:sz w:val="24"/>
          <w:szCs w:val="24"/>
          <w:highlight w:val="none"/>
        </w:rPr>
      </w:pPr>
      <w:r>
        <w:rPr>
          <w:rStyle w:val="44"/>
          <w:rFonts w:ascii="宋体" w:hAnsi="宋体"/>
          <w:color w:val="auto"/>
          <w:sz w:val="24"/>
          <w:szCs w:val="24"/>
          <w:highlight w:val="none"/>
        </w:rPr>
        <w:t>投标人应交的其它资料</w:t>
      </w:r>
    </w:p>
    <w:p w14:paraId="56079E6F">
      <w:pPr>
        <w:shd w:val="clear" w:color="auto" w:fill="auto"/>
        <w:snapToGrid w:val="0"/>
        <w:rPr>
          <w:rStyle w:val="44"/>
          <w:rFonts w:ascii="宋体" w:hAnsi="宋体"/>
          <w:color w:val="auto"/>
          <w:sz w:val="24"/>
          <w:szCs w:val="24"/>
          <w:highlight w:val="none"/>
        </w:rPr>
      </w:pPr>
    </w:p>
    <w:p w14:paraId="5E800E93">
      <w:pPr>
        <w:shd w:val="clear" w:color="auto" w:fill="auto"/>
        <w:snapToGrid w:val="0"/>
        <w:rPr>
          <w:rStyle w:val="44"/>
          <w:rFonts w:ascii="宋体" w:hAnsi="宋体"/>
          <w:color w:val="auto"/>
          <w:sz w:val="24"/>
          <w:szCs w:val="24"/>
          <w:highlight w:val="none"/>
        </w:rPr>
      </w:pPr>
    </w:p>
    <w:p w14:paraId="0CB0FAD0">
      <w:pPr>
        <w:shd w:val="clear" w:color="auto" w:fill="auto"/>
        <w:snapToGrid w:val="0"/>
        <w:rPr>
          <w:rStyle w:val="44"/>
          <w:rFonts w:ascii="宋体"/>
          <w:color w:val="auto"/>
          <w:sz w:val="24"/>
          <w:szCs w:val="24"/>
          <w:highlight w:val="none"/>
        </w:rPr>
      </w:pPr>
    </w:p>
    <w:p w14:paraId="7DEE7C24">
      <w:pPr>
        <w:shd w:val="clear" w:color="auto" w:fill="auto"/>
        <w:snapToGrid w:val="0"/>
        <w:rPr>
          <w:rStyle w:val="44"/>
          <w:rFonts w:ascii="宋体"/>
          <w:color w:val="auto"/>
          <w:sz w:val="24"/>
          <w:szCs w:val="24"/>
          <w:highlight w:val="none"/>
        </w:rPr>
      </w:pPr>
    </w:p>
    <w:p w14:paraId="4451B9B3">
      <w:pPr>
        <w:shd w:val="clear" w:color="auto" w:fill="auto"/>
        <w:snapToGrid w:val="0"/>
        <w:rPr>
          <w:rStyle w:val="44"/>
          <w:rFonts w:ascii="宋体"/>
          <w:color w:val="auto"/>
          <w:sz w:val="24"/>
          <w:szCs w:val="24"/>
          <w:highlight w:val="none"/>
        </w:rPr>
      </w:pPr>
      <w:r>
        <w:rPr>
          <w:rStyle w:val="44"/>
          <w:rFonts w:ascii="宋体"/>
          <w:color w:val="auto"/>
          <w:sz w:val="24"/>
          <w:szCs w:val="24"/>
          <w:highlight w:val="none"/>
        </w:rPr>
        <w:t>投标人根据自身实际情况编写有关资料、资格标准或评分要求</w:t>
      </w:r>
      <w:r>
        <w:rPr>
          <w:rStyle w:val="44"/>
          <w:rFonts w:hint="eastAsia" w:ascii="宋体"/>
          <w:color w:val="auto"/>
          <w:sz w:val="24"/>
          <w:szCs w:val="24"/>
          <w:highlight w:val="none"/>
          <w:lang w:eastAsia="zh-CN"/>
        </w:rPr>
        <w:t>（若有）</w:t>
      </w:r>
      <w:r>
        <w:rPr>
          <w:rStyle w:val="44"/>
          <w:rFonts w:ascii="宋体"/>
          <w:color w:val="auto"/>
          <w:sz w:val="24"/>
          <w:szCs w:val="24"/>
          <w:highlight w:val="none"/>
        </w:rPr>
        <w:t>中要求提供的证明材料在此提交。</w:t>
      </w:r>
    </w:p>
    <w:p w14:paraId="45098CA8">
      <w:pPr>
        <w:shd w:val="clear" w:color="auto" w:fill="auto"/>
        <w:snapToGrid w:val="0"/>
        <w:rPr>
          <w:rStyle w:val="44"/>
          <w:rFonts w:ascii="宋体"/>
          <w:color w:val="auto"/>
          <w:sz w:val="24"/>
          <w:szCs w:val="24"/>
          <w:highlight w:val="none"/>
        </w:rPr>
      </w:pPr>
    </w:p>
    <w:p w14:paraId="1D803CE5">
      <w:pPr>
        <w:shd w:val="clear" w:color="auto" w:fill="auto"/>
        <w:snapToGrid w:val="0"/>
        <w:rPr>
          <w:rStyle w:val="44"/>
          <w:rFonts w:ascii="宋体" w:hAnsi="宋体"/>
          <w:color w:val="auto"/>
          <w:sz w:val="24"/>
          <w:szCs w:val="24"/>
          <w:highlight w:val="none"/>
        </w:rPr>
      </w:pPr>
    </w:p>
    <w:p w14:paraId="578C8D5F">
      <w:pPr>
        <w:shd w:val="clear" w:color="auto" w:fill="auto"/>
        <w:snapToGrid w:val="0"/>
        <w:rPr>
          <w:rStyle w:val="44"/>
          <w:rFonts w:ascii="宋体"/>
          <w:color w:val="auto"/>
          <w:sz w:val="24"/>
          <w:szCs w:val="24"/>
          <w:highlight w:val="none"/>
        </w:rPr>
      </w:pPr>
    </w:p>
    <w:p w14:paraId="060B7D8A">
      <w:pPr>
        <w:shd w:val="clear" w:color="auto" w:fill="auto"/>
        <w:snapToGrid w:val="0"/>
        <w:rPr>
          <w:rStyle w:val="44"/>
          <w:rFonts w:ascii="宋体"/>
          <w:color w:val="auto"/>
          <w:sz w:val="24"/>
          <w:szCs w:val="24"/>
          <w:highlight w:val="none"/>
        </w:rPr>
      </w:pPr>
    </w:p>
    <w:p w14:paraId="4501EF01">
      <w:pPr>
        <w:shd w:val="clear" w:color="auto" w:fill="auto"/>
        <w:snapToGrid w:val="0"/>
        <w:rPr>
          <w:rStyle w:val="44"/>
          <w:rFonts w:ascii="宋体"/>
          <w:color w:val="auto"/>
          <w:sz w:val="24"/>
          <w:szCs w:val="24"/>
          <w:highlight w:val="none"/>
        </w:rPr>
      </w:pPr>
    </w:p>
    <w:p w14:paraId="4EBA4F68">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投标人名称（全称并加盖公章）：</w:t>
      </w:r>
    </w:p>
    <w:p w14:paraId="4D8E4FE0">
      <w:pPr>
        <w:shd w:val="clear" w:color="auto" w:fill="auto"/>
        <w:snapToGrid w:val="0"/>
        <w:rPr>
          <w:rStyle w:val="44"/>
          <w:rFonts w:ascii="宋体" w:hAnsi="宋体"/>
          <w:color w:val="auto"/>
          <w:sz w:val="24"/>
          <w:szCs w:val="24"/>
          <w:highlight w:val="none"/>
          <w:u w:val="single" w:color="000000"/>
        </w:rPr>
      </w:pPr>
      <w:r>
        <w:rPr>
          <w:rStyle w:val="44"/>
          <w:rFonts w:ascii="宋体" w:hAnsi="宋体"/>
          <w:color w:val="auto"/>
          <w:sz w:val="24"/>
          <w:szCs w:val="24"/>
          <w:highlight w:val="none"/>
        </w:rPr>
        <w:t>投标人代表（签字）：</w:t>
      </w:r>
    </w:p>
    <w:p w14:paraId="0F7BC0B8">
      <w:pPr>
        <w:shd w:val="clear" w:color="auto" w:fill="auto"/>
        <w:snapToGrid w:val="0"/>
        <w:rPr>
          <w:rStyle w:val="44"/>
          <w:rFonts w:ascii="宋体" w:hAnsi="宋体"/>
          <w:color w:val="auto"/>
          <w:sz w:val="24"/>
          <w:szCs w:val="24"/>
          <w:highlight w:val="none"/>
        </w:rPr>
      </w:pPr>
      <w:r>
        <w:rPr>
          <w:rStyle w:val="44"/>
          <w:rFonts w:ascii="宋体" w:hAnsi="宋体"/>
          <w:color w:val="auto"/>
          <w:sz w:val="24"/>
          <w:szCs w:val="24"/>
          <w:highlight w:val="none"/>
        </w:rPr>
        <w:t>日             期：</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年</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月</w:t>
      </w:r>
      <w:r>
        <w:rPr>
          <w:rStyle w:val="44"/>
          <w:rFonts w:hint="eastAsia" w:ascii="宋体" w:hAnsi="宋体"/>
          <w:color w:val="auto"/>
          <w:sz w:val="24"/>
          <w:szCs w:val="24"/>
          <w:highlight w:val="none"/>
        </w:rPr>
        <w:t xml:space="preserve">  </w:t>
      </w:r>
      <w:r>
        <w:rPr>
          <w:rStyle w:val="44"/>
          <w:rFonts w:ascii="宋体" w:hAnsi="宋体"/>
          <w:color w:val="auto"/>
          <w:sz w:val="24"/>
          <w:szCs w:val="24"/>
          <w:highlight w:val="none"/>
        </w:rPr>
        <w:t>日</w:t>
      </w:r>
    </w:p>
    <w:p w14:paraId="47E6322A">
      <w:pPr>
        <w:shd w:val="clear" w:color="auto" w:fill="auto"/>
        <w:snapToGrid w:val="0"/>
        <w:rPr>
          <w:rStyle w:val="44"/>
          <w:rFonts w:ascii="宋体" w:hAnsi="宋体"/>
          <w:color w:val="auto"/>
          <w:sz w:val="24"/>
          <w:szCs w:val="24"/>
          <w:highlight w:val="none"/>
        </w:rPr>
      </w:pPr>
    </w:p>
    <w:p w14:paraId="099F55FF">
      <w:pPr>
        <w:shd w:val="clear" w:color="auto" w:fill="auto"/>
        <w:snapToGrid w:val="0"/>
        <w:rPr>
          <w:rStyle w:val="44"/>
          <w:rFonts w:ascii="宋体" w:hAnsi="宋体"/>
          <w:color w:val="auto"/>
          <w:sz w:val="24"/>
          <w:szCs w:val="24"/>
          <w:highlight w:val="none"/>
        </w:rPr>
      </w:pPr>
    </w:p>
    <w:p w14:paraId="3451DC4C">
      <w:pPr>
        <w:shd w:val="clear" w:color="auto" w:fill="auto"/>
        <w:snapToGrid w:val="0"/>
        <w:rPr>
          <w:rStyle w:val="44"/>
          <w:rFonts w:ascii="宋体" w:hAnsi="宋体"/>
          <w:color w:val="auto"/>
          <w:sz w:val="24"/>
          <w:szCs w:val="24"/>
          <w:highlight w:val="none"/>
        </w:rPr>
      </w:pPr>
    </w:p>
    <w:p w14:paraId="7F5BB4D9">
      <w:pPr>
        <w:shd w:val="clear" w:color="auto" w:fill="auto"/>
        <w:snapToGrid w:val="0"/>
        <w:rPr>
          <w:rStyle w:val="44"/>
          <w:rFonts w:ascii="宋体" w:hAnsi="宋体"/>
          <w:color w:val="auto"/>
          <w:sz w:val="24"/>
          <w:szCs w:val="24"/>
          <w:highlight w:val="none"/>
        </w:rPr>
      </w:pPr>
    </w:p>
    <w:p w14:paraId="08FBF35F">
      <w:pPr>
        <w:shd w:val="clear" w:color="auto" w:fill="auto"/>
        <w:snapToGrid w:val="0"/>
        <w:rPr>
          <w:rStyle w:val="44"/>
          <w:rFonts w:ascii="宋体" w:hAnsi="宋体"/>
          <w:color w:val="auto"/>
          <w:sz w:val="24"/>
          <w:szCs w:val="24"/>
          <w:highlight w:val="none"/>
        </w:rPr>
      </w:pPr>
    </w:p>
    <w:p w14:paraId="41C31257">
      <w:pPr>
        <w:shd w:val="clear" w:color="auto" w:fill="auto"/>
        <w:snapToGrid w:val="0"/>
        <w:rPr>
          <w:rStyle w:val="44"/>
          <w:rFonts w:ascii="宋体" w:hAnsi="宋体"/>
          <w:color w:val="auto"/>
          <w:sz w:val="24"/>
          <w:szCs w:val="24"/>
          <w:highlight w:val="none"/>
        </w:rPr>
      </w:pPr>
    </w:p>
    <w:p w14:paraId="657A4E05">
      <w:pPr>
        <w:shd w:val="clear" w:color="auto" w:fill="auto"/>
        <w:snapToGrid w:val="0"/>
        <w:rPr>
          <w:rStyle w:val="44"/>
          <w:rFonts w:ascii="宋体" w:hAnsi="宋体"/>
          <w:color w:val="auto"/>
          <w:sz w:val="24"/>
          <w:szCs w:val="24"/>
          <w:highlight w:val="none"/>
        </w:rPr>
      </w:pPr>
    </w:p>
    <w:p w14:paraId="19782761">
      <w:pPr>
        <w:shd w:val="clear" w:color="auto" w:fill="auto"/>
        <w:snapToGrid w:val="0"/>
        <w:rPr>
          <w:rStyle w:val="44"/>
          <w:rFonts w:ascii="宋体" w:hAnsi="宋体"/>
          <w:color w:val="auto"/>
          <w:sz w:val="24"/>
          <w:szCs w:val="24"/>
          <w:highlight w:val="none"/>
        </w:rPr>
      </w:pPr>
    </w:p>
    <w:p w14:paraId="0868A86B">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46E1623D">
      <w:pPr>
        <w:shd w:val="clear" w:color="auto" w:fill="auto"/>
        <w:snapToGrid w:val="0"/>
        <w:rPr>
          <w:rStyle w:val="44"/>
          <w:rFonts w:ascii="宋体" w:hAnsi="宋体"/>
          <w:color w:val="auto"/>
          <w:sz w:val="24"/>
          <w:szCs w:val="24"/>
          <w:highlight w:val="none"/>
        </w:rPr>
      </w:pPr>
    </w:p>
    <w:p w14:paraId="0BAC8B7E">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111425BC">
      <w:pPr>
        <w:shd w:val="clear" w:color="auto" w:fill="auto"/>
        <w:snapToGrid w:val="0"/>
        <w:rPr>
          <w:rStyle w:val="44"/>
          <w:rFonts w:ascii="宋体" w:hAnsi="宋体"/>
          <w:color w:val="auto"/>
          <w:sz w:val="24"/>
          <w:szCs w:val="24"/>
          <w:highlight w:val="none"/>
        </w:rPr>
      </w:pPr>
    </w:p>
    <w:p w14:paraId="7E39B182">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5DACCCA8">
      <w:pPr>
        <w:shd w:val="clear" w:color="auto" w:fill="auto"/>
        <w:snapToGrid w:val="0"/>
        <w:rPr>
          <w:rStyle w:val="44"/>
          <w:rFonts w:ascii="宋体" w:hAnsi="宋体"/>
          <w:color w:val="auto"/>
          <w:sz w:val="24"/>
          <w:szCs w:val="24"/>
          <w:highlight w:val="none"/>
        </w:rPr>
      </w:pPr>
    </w:p>
    <w:p w14:paraId="23F64D13">
      <w:pPr>
        <w:shd w:val="clear" w:color="auto" w:fill="auto"/>
        <w:snapToGrid w:val="0"/>
        <w:rPr>
          <w:rStyle w:val="44"/>
          <w:rFonts w:ascii="宋体" w:hAnsi="宋体"/>
          <w:color w:val="auto"/>
          <w:sz w:val="24"/>
          <w:szCs w:val="24"/>
          <w:highlight w:val="none"/>
        </w:rPr>
      </w:pPr>
    </w:p>
    <w:p w14:paraId="719772CC">
      <w:pPr>
        <w:shd w:val="clear" w:color="auto" w:fill="auto"/>
        <w:snapToGrid w:val="0"/>
        <w:rPr>
          <w:rStyle w:val="44"/>
          <w:rFonts w:ascii="宋体" w:hAnsi="宋体"/>
          <w:color w:val="auto"/>
          <w:sz w:val="24"/>
          <w:szCs w:val="24"/>
          <w:highlight w:val="none"/>
        </w:rPr>
      </w:pPr>
    </w:p>
    <w:p w14:paraId="2E101ED1">
      <w:pPr>
        <w:shd w:val="clear" w:color="auto" w:fill="auto"/>
        <w:snapToGrid w:val="0"/>
        <w:rPr>
          <w:rStyle w:val="44"/>
          <w:rFonts w:ascii="宋体" w:hAnsi="宋体"/>
          <w:color w:val="auto"/>
          <w:sz w:val="24"/>
          <w:szCs w:val="24"/>
          <w:highlight w:val="none"/>
        </w:rPr>
      </w:pPr>
    </w:p>
    <w:p w14:paraId="07DBDEA9">
      <w:pPr>
        <w:shd w:val="clear" w:color="auto" w:fill="auto"/>
        <w:snapToGrid w:val="0"/>
        <w:rPr>
          <w:rStyle w:val="44"/>
          <w:rFonts w:ascii="宋体" w:hAnsi="宋体"/>
          <w:color w:val="auto"/>
          <w:sz w:val="24"/>
          <w:szCs w:val="24"/>
          <w:highlight w:val="none"/>
        </w:rPr>
      </w:pPr>
    </w:p>
    <w:p w14:paraId="5380497F">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6FDEC7BB">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740DAE2D">
      <w:pPr>
        <w:shd w:val="clear" w:color="auto" w:fill="auto"/>
        <w:snapToGrid w:val="0"/>
        <w:rPr>
          <w:rStyle w:val="44"/>
          <w:rFonts w:ascii="宋体" w:hAnsi="宋体"/>
          <w:color w:val="auto"/>
          <w:sz w:val="24"/>
          <w:szCs w:val="24"/>
          <w:highlight w:val="none"/>
        </w:rPr>
      </w:pPr>
    </w:p>
    <w:p w14:paraId="65D13578">
      <w:pPr>
        <w:shd w:val="clear" w:color="auto" w:fill="auto"/>
        <w:snapToGrid w:val="0"/>
        <w:rPr>
          <w:rStyle w:val="44"/>
          <w:rFonts w:ascii="宋体" w:hAnsi="宋体"/>
          <w:color w:val="auto"/>
          <w:sz w:val="24"/>
          <w:szCs w:val="24"/>
          <w:highlight w:val="none"/>
        </w:rPr>
      </w:pPr>
    </w:p>
    <w:p w14:paraId="772FDAD7">
      <w:pPr>
        <w:shd w:val="clear" w:color="auto" w:fill="auto"/>
        <w:snapToGrid w:val="0"/>
        <w:rPr>
          <w:rStyle w:val="44"/>
          <w:rFonts w:ascii="宋体" w:hAnsi="宋体"/>
          <w:color w:val="auto"/>
          <w:sz w:val="24"/>
          <w:szCs w:val="24"/>
          <w:highlight w:val="none"/>
        </w:rPr>
      </w:pPr>
    </w:p>
    <w:p w14:paraId="439FEB3F">
      <w:pPr>
        <w:shd w:val="clear" w:color="auto" w:fill="auto"/>
        <w:snapToGrid w:val="0"/>
        <w:rPr>
          <w:rStyle w:val="44"/>
          <w:rFonts w:ascii="宋体" w:hAnsi="宋体"/>
          <w:color w:val="auto"/>
          <w:sz w:val="24"/>
          <w:szCs w:val="24"/>
          <w:highlight w:val="none"/>
        </w:rPr>
      </w:pPr>
    </w:p>
    <w:p w14:paraId="1E18EBC3">
      <w:pPr>
        <w:shd w:val="clear" w:color="auto" w:fill="auto"/>
        <w:snapToGrid w:val="0"/>
        <w:rPr>
          <w:rStyle w:val="44"/>
          <w:rFonts w:ascii="宋体" w:hAnsi="宋体"/>
          <w:color w:val="auto"/>
          <w:sz w:val="24"/>
          <w:szCs w:val="24"/>
          <w:highlight w:val="none"/>
        </w:rPr>
      </w:pPr>
    </w:p>
    <w:p w14:paraId="3185E74E">
      <w:pPr>
        <w:shd w:val="clear" w:color="auto" w:fill="auto"/>
        <w:snapToGrid w:val="0"/>
        <w:rPr>
          <w:rStyle w:val="44"/>
          <w:rFonts w:ascii="宋体" w:hAnsi="宋体"/>
          <w:color w:val="auto"/>
          <w:sz w:val="24"/>
          <w:szCs w:val="24"/>
          <w:highlight w:val="none"/>
        </w:rPr>
      </w:pPr>
    </w:p>
    <w:p w14:paraId="1D98833B">
      <w:pPr>
        <w:shd w:val="clear" w:color="auto" w:fill="auto"/>
        <w:snapToGrid w:val="0"/>
        <w:rPr>
          <w:rStyle w:val="44"/>
          <w:rFonts w:ascii="宋体" w:hAnsi="宋体"/>
          <w:color w:val="auto"/>
          <w:sz w:val="24"/>
          <w:szCs w:val="24"/>
          <w:highlight w:val="none"/>
        </w:rPr>
      </w:pPr>
    </w:p>
    <w:p w14:paraId="6E6D8326">
      <w:pPr>
        <w:shd w:val="clear" w:color="auto" w:fill="auto"/>
        <w:snapToGrid w:val="0"/>
        <w:rPr>
          <w:rStyle w:val="44"/>
          <w:rFonts w:hint="eastAsia" w:ascii="宋体" w:hAnsi="宋体" w:eastAsia="宋体"/>
          <w:color w:val="auto"/>
          <w:sz w:val="24"/>
          <w:szCs w:val="24"/>
          <w:highlight w:val="none"/>
          <w:lang w:val="en-US" w:eastAsia="zh-CN"/>
        </w:rPr>
      </w:pPr>
      <w:r>
        <w:rPr>
          <w:rStyle w:val="44"/>
          <w:rFonts w:hint="eastAsia" w:ascii="宋体" w:hAnsi="宋体"/>
          <w:color w:val="auto"/>
          <w:sz w:val="24"/>
          <w:szCs w:val="24"/>
          <w:highlight w:val="none"/>
          <w:lang w:val="en-US" w:eastAsia="zh-CN"/>
        </w:rPr>
        <w:t xml:space="preserve"> </w:t>
      </w:r>
    </w:p>
    <w:p w14:paraId="3E4DE4F4">
      <w:pPr>
        <w:shd w:val="clear" w:color="auto" w:fill="auto"/>
        <w:spacing w:line="360" w:lineRule="auto"/>
        <w:ind w:right="48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退回保证金授权函</w:t>
      </w:r>
    </w:p>
    <w:p w14:paraId="1178085F">
      <w:pPr>
        <w:shd w:val="clear" w:color="auto" w:fill="auto"/>
        <w:spacing w:line="360" w:lineRule="auto"/>
        <w:ind w:right="480"/>
        <w:jc w:val="center"/>
        <w:rPr>
          <w:rFonts w:hint="eastAsia" w:ascii="宋体" w:hAnsi="宋体" w:cs="宋体"/>
          <w:b/>
          <w:bCs/>
          <w:color w:val="auto"/>
          <w:szCs w:val="28"/>
          <w:highlight w:val="none"/>
        </w:rPr>
      </w:pPr>
    </w:p>
    <w:p w14:paraId="147BDE94">
      <w:pPr>
        <w:pStyle w:val="15"/>
        <w:shd w:val="clear" w:color="auto" w:fill="auto"/>
        <w:tabs>
          <w:tab w:val="left" w:pos="900"/>
        </w:tabs>
        <w:spacing w:line="360" w:lineRule="auto"/>
        <w:ind w:left="0" w:leftChars="0" w:firstLine="0" w:firstLineChars="0"/>
        <w:jc w:val="left"/>
        <w:rPr>
          <w:rFonts w:hint="eastAsia" w:ascii="宋体" w:hAnsi="宋体" w:cs="宋体"/>
          <w:b/>
          <w:bCs/>
          <w:color w:val="auto"/>
          <w:sz w:val="24"/>
          <w:szCs w:val="24"/>
          <w:highlight w:val="none"/>
        </w:rPr>
      </w:pPr>
      <w:r>
        <w:rPr>
          <w:rFonts w:hint="eastAsia" w:ascii="宋体" w:hAnsi="宋体" w:cs="宋体"/>
          <w:b/>
          <w:bCs/>
          <w:color w:val="auto"/>
          <w:sz w:val="24"/>
          <w:highlight w:val="none"/>
        </w:rPr>
        <w:t>致：福建方兴招标代理有限公司</w:t>
      </w:r>
    </w:p>
    <w:p w14:paraId="46444BBC">
      <w:pPr>
        <w:shd w:val="clear" w:color="auto" w:fill="auto"/>
        <w:spacing w:line="360" w:lineRule="auto"/>
        <w:ind w:firstLine="477" w:firstLineChars="199"/>
        <w:rPr>
          <w:rFonts w:hint="eastAsia" w:ascii="宋体" w:hAnsi="宋体" w:cs="宋体"/>
          <w:bCs/>
          <w:color w:val="auto"/>
          <w:sz w:val="24"/>
          <w:highlight w:val="none"/>
          <w:u w:val="single"/>
        </w:rPr>
      </w:pPr>
      <w:r>
        <w:rPr>
          <w:rFonts w:hint="eastAsia" w:ascii="宋体" w:hAnsi="宋体" w:cs="宋体"/>
          <w:bCs/>
          <w:color w:val="auto"/>
          <w:sz w:val="24"/>
          <w:highlight w:val="none"/>
        </w:rPr>
        <w:t>我方参与项目编号为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w:t>
      </w:r>
      <w:r>
        <w:rPr>
          <w:rFonts w:hint="eastAsia" w:ascii="宋体" w:hAnsi="宋体" w:cs="宋体"/>
          <w:bCs/>
          <w:color w:val="auto"/>
          <w:sz w:val="24"/>
          <w:highlight w:val="none"/>
          <w:u w:val="single"/>
        </w:rPr>
        <w:t xml:space="preserve">     （项目名称）     投标,</w:t>
      </w:r>
    </w:p>
    <w:p w14:paraId="3B391A4D">
      <w:pPr>
        <w:shd w:val="clear" w:color="auto" w:fill="auto"/>
        <w:spacing w:line="360" w:lineRule="auto"/>
        <w:ind w:firstLine="477" w:firstLineChars="199"/>
        <w:jc w:val="left"/>
        <w:rPr>
          <w:rFonts w:hint="eastAsia" w:ascii="宋体" w:hAnsi="宋体" w:cs="宋体"/>
          <w:b/>
          <w:bCs/>
          <w:color w:val="auto"/>
          <w:sz w:val="24"/>
          <w:highlight w:val="none"/>
        </w:rPr>
      </w:pPr>
      <w:r>
        <w:rPr>
          <w:rFonts w:hint="eastAsia" w:ascii="宋体" w:hAnsi="宋体" w:cs="宋体"/>
          <w:bCs/>
          <w:color w:val="auto"/>
          <w:sz w:val="24"/>
          <w:highlight w:val="none"/>
        </w:rPr>
        <w:t>我方</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转账 </w:t>
      </w:r>
      <w:r>
        <w:rPr>
          <w:rFonts w:hint="eastAsia" w:ascii="宋体" w:hAnsi="宋体" w:cs="宋体"/>
          <w:color w:val="auto"/>
          <w:sz w:val="24"/>
          <w:highlight w:val="none"/>
        </w:rPr>
        <w:t>形式</w:t>
      </w:r>
      <w:r>
        <w:rPr>
          <w:rFonts w:hint="eastAsia" w:ascii="宋体" w:hAnsi="宋体" w:cs="宋体"/>
          <w:bCs/>
          <w:color w:val="auto"/>
          <w:sz w:val="24"/>
          <w:highlight w:val="none"/>
        </w:rPr>
        <w:t>提供人民币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元投标保证金，当可以退回时，授权委托我司员工:</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,身份证号码: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至贵司，全权办理此项目投标保证金退还事宜。请贵司给予办理，并退回到我公司以下</w:t>
      </w:r>
      <w:r>
        <w:rPr>
          <w:rFonts w:hint="eastAsia" w:ascii="宋体" w:hAnsi="宋体" w:cs="宋体"/>
          <w:bCs/>
          <w:color w:val="auto"/>
          <w:sz w:val="24"/>
          <w:highlight w:val="none"/>
          <w:lang w:eastAsia="zh-CN"/>
        </w:rPr>
        <w:t>账户</w:t>
      </w:r>
      <w:r>
        <w:rPr>
          <w:rFonts w:hint="eastAsia" w:ascii="宋体" w:hAnsi="宋体" w:cs="宋体"/>
          <w:bCs/>
          <w:color w:val="auto"/>
          <w:sz w:val="24"/>
          <w:highlight w:val="none"/>
        </w:rPr>
        <w:t>：</w:t>
      </w:r>
    </w:p>
    <w:p w14:paraId="2E0D18FC">
      <w:pPr>
        <w:numPr>
          <w:ilvl w:val="1"/>
          <w:numId w:val="3"/>
        </w:numPr>
        <w:shd w:val="clear" w:color="auto" w:fill="auto"/>
        <w:spacing w:line="360" w:lineRule="auto"/>
        <w:rPr>
          <w:rFonts w:hint="eastAsia"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                                </w:t>
      </w:r>
    </w:p>
    <w:p w14:paraId="29F8EAC1">
      <w:pPr>
        <w:numPr>
          <w:ilvl w:val="1"/>
          <w:numId w:val="3"/>
        </w:numPr>
        <w:shd w:val="clear" w:color="auto" w:fill="auto"/>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4D1F994A">
      <w:pPr>
        <w:numPr>
          <w:ilvl w:val="1"/>
          <w:numId w:val="3"/>
        </w:numPr>
        <w:shd w:val="clear" w:color="auto" w:fill="auto"/>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帐  号：</w:t>
      </w:r>
      <w:r>
        <w:rPr>
          <w:rFonts w:hint="eastAsia" w:ascii="宋体" w:hAnsi="宋体" w:cs="宋体"/>
          <w:color w:val="auto"/>
          <w:sz w:val="24"/>
          <w:highlight w:val="none"/>
          <w:u w:val="single"/>
        </w:rPr>
        <w:t xml:space="preserve">                                </w:t>
      </w:r>
    </w:p>
    <w:p w14:paraId="10E1B7E9">
      <w:pPr>
        <w:numPr>
          <w:ilvl w:val="1"/>
          <w:numId w:val="3"/>
        </w:numPr>
        <w:shd w:val="clear" w:color="auto" w:fill="auto"/>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税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56C15BC">
      <w:pPr>
        <w:shd w:val="clear" w:color="auto" w:fill="auto"/>
        <w:spacing w:line="360" w:lineRule="auto"/>
        <w:ind w:firstLine="479" w:firstLineChars="199"/>
        <w:rPr>
          <w:rFonts w:hint="eastAsia" w:ascii="宋体" w:hAnsi="宋体" w:cs="宋体"/>
          <w:b/>
          <w:bCs/>
          <w:color w:val="auto"/>
          <w:sz w:val="24"/>
          <w:highlight w:val="none"/>
        </w:rPr>
      </w:pPr>
    </w:p>
    <w:p w14:paraId="7DD0F6F5">
      <w:pPr>
        <w:shd w:val="clear" w:color="auto" w:fill="auto"/>
        <w:spacing w:line="400" w:lineRule="exact"/>
        <w:ind w:firstLine="4080" w:firstLineChars="1700"/>
        <w:rPr>
          <w:rFonts w:hint="eastAsia"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（全称并加盖公章）</w:t>
      </w:r>
    </w:p>
    <w:p w14:paraId="5484D1D8">
      <w:pPr>
        <w:shd w:val="clear" w:color="auto" w:fill="auto"/>
        <w:spacing w:line="400" w:lineRule="exact"/>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投标人代表签名：</w:t>
      </w:r>
      <w:r>
        <w:rPr>
          <w:rFonts w:hint="eastAsia" w:ascii="宋体" w:hAnsi="宋体" w:cs="宋体"/>
          <w:color w:val="auto"/>
          <w:sz w:val="24"/>
          <w:highlight w:val="none"/>
          <w:u w:val="single"/>
        </w:rPr>
        <w:t xml:space="preserve">                    </w:t>
      </w:r>
    </w:p>
    <w:p w14:paraId="12815294">
      <w:pPr>
        <w:shd w:val="clear" w:color="auto" w:fill="auto"/>
        <w:spacing w:line="400" w:lineRule="exact"/>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投标人联系方式：</w:t>
      </w:r>
      <w:r>
        <w:rPr>
          <w:rFonts w:hint="eastAsia" w:ascii="宋体" w:hAnsi="宋体" w:cs="宋体"/>
          <w:color w:val="auto"/>
          <w:sz w:val="24"/>
          <w:highlight w:val="none"/>
          <w:u w:val="single"/>
        </w:rPr>
        <w:t xml:space="preserve">                    </w:t>
      </w:r>
    </w:p>
    <w:p w14:paraId="6620039A">
      <w:pPr>
        <w:shd w:val="clear" w:color="auto" w:fill="auto"/>
        <w:tabs>
          <w:tab w:val="right" w:pos="8505"/>
        </w:tabs>
        <w:spacing w:line="400" w:lineRule="exact"/>
        <w:ind w:firstLine="4080" w:firstLineChars="1700"/>
        <w:rPr>
          <w:rFonts w:hint="eastAsia" w:ascii="宋体" w:hAnsi="宋体" w:cs="宋体"/>
          <w:color w:val="auto"/>
          <w:highlight w:val="none"/>
        </w:rPr>
      </w:pPr>
      <w:r>
        <w:rPr>
          <w:rFonts w:hint="eastAsia" w:ascii="宋体" w:hAnsi="宋体" w:cs="宋体"/>
          <w:color w:val="auto"/>
          <w:sz w:val="24"/>
          <w:highlight w:val="none"/>
        </w:rPr>
        <w:t>日    期：     年    月     日</w:t>
      </w:r>
      <w:r>
        <w:rPr>
          <w:rFonts w:hint="eastAsia" w:ascii="宋体" w:hAnsi="宋体" w:cs="宋体"/>
          <w:color w:val="auto"/>
          <w:sz w:val="24"/>
          <w:highlight w:val="none"/>
        </w:rPr>
        <w:tab/>
      </w:r>
    </w:p>
    <w:p w14:paraId="58B64176">
      <w:pPr>
        <w:shd w:val="clear" w:color="auto" w:fill="auto"/>
        <w:tabs>
          <w:tab w:val="left" w:pos="1146"/>
        </w:tabs>
        <w:spacing w:line="500" w:lineRule="exact"/>
        <w:rPr>
          <w:rFonts w:hint="eastAsia" w:ascii="宋体" w:hAnsi="宋体" w:cs="宋体"/>
          <w:color w:val="auto"/>
          <w:highlight w:val="none"/>
        </w:rPr>
      </w:pPr>
      <w:r>
        <w:rPr>
          <w:rFonts w:hint="eastAsia" w:ascii="宋体" w:hAnsi="宋体" w:cs="宋体"/>
          <w:color w:val="auto"/>
          <w:highlight w:val="none"/>
        </w:rPr>
        <w:tab/>
      </w:r>
    </w:p>
    <w:p w14:paraId="0C7CDC38">
      <w:pPr>
        <w:pStyle w:val="14"/>
        <w:shd w:val="clear" w:color="auto" w:fill="auto"/>
        <w:spacing w:line="360" w:lineRule="auto"/>
        <w:jc w:val="left"/>
        <w:rPr>
          <w:rFonts w:hint="eastAsia" w:hAnsi="宋体" w:cs="宋体"/>
          <w:b/>
          <w:color w:val="auto"/>
          <w:sz w:val="24"/>
          <w:highlight w:val="none"/>
        </w:rPr>
      </w:pPr>
      <w:r>
        <w:rPr>
          <w:rFonts w:hint="eastAsia" w:hAnsi="宋体" w:cs="宋体"/>
          <w:b/>
          <w:color w:val="auto"/>
          <w:sz w:val="24"/>
          <w:highlight w:val="none"/>
        </w:rPr>
        <w:t xml:space="preserve">注：此表须在开标当天直接递交会议主持人（无需密封） </w:t>
      </w:r>
    </w:p>
    <w:p w14:paraId="6AA74927">
      <w:pPr>
        <w:shd w:val="clear" w:color="auto" w:fill="auto"/>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lang w:eastAsia="zh-CN"/>
        </w:rPr>
        <w:t>中标人</w:t>
      </w:r>
      <w:r>
        <w:rPr>
          <w:rFonts w:hint="eastAsia" w:ascii="宋体" w:hAnsi="宋体" w:cs="宋体"/>
          <w:b/>
          <w:color w:val="auto"/>
          <w:sz w:val="24"/>
          <w:highlight w:val="none"/>
        </w:rPr>
        <w:t>签订合同后将合同及此函（含清晰准确的磋商保证金缴款凭证复印件）发送我司邮箱退回保证金。</w:t>
      </w:r>
    </w:p>
    <w:p w14:paraId="62C6EC13">
      <w:pPr>
        <w:shd w:val="clear" w:color="auto" w:fill="auto"/>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"mailto:FXZB178@163.COM"</w:instrText>
      </w:r>
      <w:r>
        <w:rPr>
          <w:rFonts w:hint="eastAsia" w:ascii="宋体" w:hAnsi="宋体" w:cs="宋体"/>
          <w:color w:val="auto"/>
          <w:highlight w:val="none"/>
        </w:rPr>
        <w:fldChar w:fldCharType="separate"/>
      </w:r>
      <w:r>
        <w:rPr>
          <w:rFonts w:hint="eastAsia" w:ascii="宋体" w:hAnsi="宋体" w:cs="宋体"/>
          <w:b/>
          <w:color w:val="auto"/>
          <w:sz w:val="24"/>
          <w:highlight w:val="none"/>
        </w:rPr>
        <w:t>FXZB178@163.COM</w:t>
      </w:r>
      <w:r>
        <w:rPr>
          <w:rFonts w:hint="eastAsia" w:ascii="宋体" w:hAnsi="宋体" w:cs="宋体"/>
          <w:color w:val="auto"/>
          <w:highlight w:val="none"/>
        </w:rPr>
        <w:fldChar w:fldCharType="end"/>
      </w:r>
    </w:p>
    <w:p w14:paraId="36BD4A2B">
      <w:pPr>
        <w:shd w:val="clear" w:color="auto" w:fill="auto"/>
        <w:snapToGrid w:val="0"/>
        <w:spacing w:line="420" w:lineRule="atLeast"/>
        <w:jc w:val="center"/>
        <w:rPr>
          <w:rFonts w:hint="eastAsia" w:ascii="宋体" w:hAnsi="宋体"/>
          <w:b/>
          <w:color w:val="auto"/>
          <w:sz w:val="36"/>
          <w:szCs w:val="36"/>
          <w:highlight w:val="none"/>
        </w:rPr>
      </w:pPr>
    </w:p>
    <w:p w14:paraId="2C4636FE">
      <w:pPr>
        <w:pStyle w:val="74"/>
        <w:shd w:val="clear" w:color="auto" w:fill="auto"/>
        <w:rPr>
          <w:rFonts w:hint="eastAsia" w:ascii="宋体" w:hAnsi="宋体"/>
          <w:b/>
          <w:color w:val="auto"/>
          <w:sz w:val="36"/>
          <w:szCs w:val="36"/>
          <w:highlight w:val="none"/>
        </w:rPr>
      </w:pPr>
    </w:p>
    <w:p w14:paraId="6AB45B1F">
      <w:pPr>
        <w:pStyle w:val="74"/>
        <w:shd w:val="clear" w:color="auto" w:fill="auto"/>
        <w:rPr>
          <w:rFonts w:hint="default"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339B6946">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44D13C63">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235F2A62">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2B59D0F9">
      <w:pPr>
        <w:shd w:val="clear" w:color="auto" w:fill="auto"/>
        <w:snapToGrid w:val="0"/>
        <w:spacing w:line="420" w:lineRule="atLeast"/>
        <w:jc w:val="center"/>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lang w:val="en-US" w:eastAsia="zh-CN"/>
        </w:rPr>
        <w:t xml:space="preserve"> </w:t>
      </w:r>
    </w:p>
    <w:p w14:paraId="7DC0C2C0">
      <w:pPr>
        <w:shd w:val="clear" w:color="auto" w:fill="auto"/>
        <w:snapToGrid w:val="0"/>
        <w:rPr>
          <w:rStyle w:val="44"/>
          <w:rFonts w:hint="default" w:eastAsia="宋体"/>
          <w:color w:val="auto"/>
          <w:highlight w:val="none"/>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C8BC">
    <w:pPr>
      <w:pStyle w:val="17"/>
      <w:rPr>
        <w:rStyle w:val="44"/>
        <w:rFonts w:ascii="宋体" w:hAnsi="宋体"/>
        <w:sz w:val="11"/>
        <w:szCs w:val="1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996EB">
                          <w:pPr>
                            <w:pStyle w:val="17"/>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0E6996EB">
                    <w:pPr>
                      <w:pStyle w:val="17"/>
                    </w:pPr>
                    <w:r>
                      <w:fldChar w:fldCharType="begin"/>
                    </w:r>
                    <w:r>
                      <w:instrText xml:space="preserve"> PAGE  \* MERGEFORMAT </w:instrText>
                    </w:r>
                    <w:r>
                      <w:fldChar w:fldCharType="separate"/>
                    </w:r>
                    <w:r>
                      <w:t>27</w:t>
                    </w:r>
                    <w:r>
                      <w:fldChar w:fldCharType="end"/>
                    </w:r>
                  </w:p>
                </w:txbxContent>
              </v:textbox>
            </v:shape>
          </w:pict>
        </mc:Fallback>
      </mc:AlternateContent>
    </w:r>
    <w:r>
      <w:rPr>
        <w:rStyle w:val="4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FABB1A">
                          <w:pPr>
                            <w:pStyle w:val="17"/>
                            <w:rPr>
                              <w:rStyle w:val="44"/>
                            </w:rPr>
                          </w:pPr>
                        </w:p>
                        <w:p w14:paraId="558FA9EE">
                          <w:pPr>
                            <w:rPr>
                              <w:rStyle w:val="44"/>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mk9kDSAAAABQEAAA8AAAAAAAAAAQAgAAAAIgAAAGRycy9kb3ducmV2LnhtbFBLAQIUABQA&#10;AAAIAIdO4kB3DnRnvQEAAIEDAAAOAAAAAAAAAAEAIAAAACEBAABkcnMvZTJvRG9jLnhtbFBLBQYA&#10;AAAABgAGAFkBAABQBQAAAAA=&#10;">
              <v:fill on="f" focussize="0,0"/>
              <v:stroke on="f"/>
              <v:imagedata o:title=""/>
              <o:lock v:ext="edit" aspectratio="f"/>
              <v:textbox inset="0mm,0mm,0mm,0mm">
                <w:txbxContent>
                  <w:p w14:paraId="1DFABB1A">
                    <w:pPr>
                      <w:pStyle w:val="17"/>
                      <w:rPr>
                        <w:rStyle w:val="44"/>
                      </w:rPr>
                    </w:pPr>
                  </w:p>
                  <w:p w14:paraId="558FA9EE">
                    <w:pPr>
                      <w:rPr>
                        <w:rStyle w:val="44"/>
                      </w:rPr>
                    </w:pPr>
                  </w:p>
                </w:txbxContent>
              </v:textbox>
            </v:shape>
          </w:pict>
        </mc:Fallback>
      </mc:AlternateContent>
    </w:r>
    <w:r>
      <w:rPr>
        <w:rStyle w:val="44"/>
      </w:rPr>
      <mc:AlternateContent>
        <mc:Choice Requires="wps">
          <w:drawing>
            <wp:anchor distT="0" distB="0" distL="114300" distR="114300" simplePos="0" relativeHeight="251659264" behindDoc="0" locked="0" layoutInCell="1" allowOverlap="1">
              <wp:simplePos x="0" y="0"/>
              <wp:positionH relativeFrom="page">
                <wp:posOffset>4105275</wp:posOffset>
              </wp:positionH>
              <wp:positionV relativeFrom="paragraph">
                <wp:posOffset>-3810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7744D">
                          <w:pPr>
                            <w:pStyle w:val="17"/>
                            <w:rPr>
                              <w:rStyle w:val="46"/>
                              <w:rFonts w:ascii="宋体" w:hAnsi="宋体"/>
                              <w:sz w:val="18"/>
                            </w:rPr>
                          </w:pPr>
                        </w:p>
                        <w:p w14:paraId="7736F26E">
                          <w:pPr>
                            <w:rPr>
                              <w:rStyle w:val="44"/>
                            </w:rPr>
                          </w:pPr>
                        </w:p>
                      </w:txbxContent>
                    </wps:txbx>
                    <wps:bodyPr wrap="square" lIns="0" tIns="0" rIns="0" bIns="0" upright="1"/>
                  </wps:wsp>
                </a:graphicData>
              </a:graphic>
            </wp:anchor>
          </w:drawing>
        </mc:Choice>
        <mc:Fallback>
          <w:pict>
            <v:shape id="文本框 3" o:spid="_x0000_s1026" o:spt="202" type="#_x0000_t202" style="position:absolute;left:0pt;margin-left:323.25pt;margin-top:-0.3pt;height:144pt;width:144pt;mso-position-horizontal-relative:page;z-index:251659264;mso-width-relative:page;mso-height-relative:page;" filled="f" stroked="f" coordsize="21600,21600" o:gfxdata="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lz4+tgAAAAJAQAADwAAAAAAAAABACAAAAAiAAAAZHJzL2Rvd25yZXYueG1s&#10;UEsBAhQAFAAAAAgAh07iQCZIPE6/AQAAgQMAAA4AAAAAAAAAAQAgAAAAJwEAAGRycy9lMm9Eb2Mu&#10;eG1sUEsFBgAAAAAGAAYAWQEAAFgFAAAAAA==&#10;">
              <v:fill on="f" focussize="0,0"/>
              <v:stroke on="f"/>
              <v:imagedata o:title=""/>
              <o:lock v:ext="edit" aspectratio="f"/>
              <v:textbox inset="0mm,0mm,0mm,0mm">
                <w:txbxContent>
                  <w:p w14:paraId="7EA7744D">
                    <w:pPr>
                      <w:pStyle w:val="17"/>
                      <w:rPr>
                        <w:rStyle w:val="46"/>
                        <w:rFonts w:ascii="宋体" w:hAnsi="宋体"/>
                        <w:sz w:val="18"/>
                      </w:rPr>
                    </w:pPr>
                  </w:p>
                  <w:p w14:paraId="7736F26E">
                    <w:pPr>
                      <w:rPr>
                        <w:rStyle w:val="4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85FB">
    <w:pPr>
      <w:pStyle w:val="18"/>
      <w:pBdr>
        <w:bottom w:val="none" w:color="auto" w:sz="0" w:space="1"/>
      </w:pBdr>
      <w:rPr>
        <w:rStyle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357011"/>
    <w:multiLevelType w:val="singleLevel"/>
    <w:tmpl w:val="1D357011"/>
    <w:lvl w:ilvl="0" w:tentative="0">
      <w:start w:val="2"/>
      <w:numFmt w:val="decimal"/>
      <w:suff w:val="nothing"/>
      <w:lvlText w:val="%1、"/>
      <w:lvlJc w:val="left"/>
    </w:lvl>
  </w:abstractNum>
  <w:abstractNum w:abstractNumId="2">
    <w:nsid w:val="432DE006"/>
    <w:multiLevelType w:val="singleLevel"/>
    <w:tmpl w:val="432DE006"/>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2UzNDlhYzczZTY3YWM3ODBjYTI3ZDcyZTdmMDkifQ=="/>
  </w:docVars>
  <w:rsids>
    <w:rsidRoot w:val="00172A27"/>
    <w:rsid w:val="018418C3"/>
    <w:rsid w:val="019407CC"/>
    <w:rsid w:val="02533F0F"/>
    <w:rsid w:val="02B900CD"/>
    <w:rsid w:val="03237359"/>
    <w:rsid w:val="042F3C21"/>
    <w:rsid w:val="0560562F"/>
    <w:rsid w:val="05AF5900"/>
    <w:rsid w:val="05E24858"/>
    <w:rsid w:val="069A5415"/>
    <w:rsid w:val="08351F87"/>
    <w:rsid w:val="099512B1"/>
    <w:rsid w:val="0A5001EC"/>
    <w:rsid w:val="0A71026A"/>
    <w:rsid w:val="0A7E07AB"/>
    <w:rsid w:val="0BA15CEB"/>
    <w:rsid w:val="0C192A5A"/>
    <w:rsid w:val="0CEA5470"/>
    <w:rsid w:val="0E016F15"/>
    <w:rsid w:val="0E611762"/>
    <w:rsid w:val="0EBB384D"/>
    <w:rsid w:val="0F67724C"/>
    <w:rsid w:val="11B36778"/>
    <w:rsid w:val="134D0507"/>
    <w:rsid w:val="145C30F7"/>
    <w:rsid w:val="146E08FD"/>
    <w:rsid w:val="162F5C4C"/>
    <w:rsid w:val="168F4FFF"/>
    <w:rsid w:val="16947FEB"/>
    <w:rsid w:val="175B6F53"/>
    <w:rsid w:val="17614581"/>
    <w:rsid w:val="1852038B"/>
    <w:rsid w:val="1858727D"/>
    <w:rsid w:val="19187C88"/>
    <w:rsid w:val="19366C60"/>
    <w:rsid w:val="1A501008"/>
    <w:rsid w:val="1C2B5C93"/>
    <w:rsid w:val="1D4330A6"/>
    <w:rsid w:val="1D5758D7"/>
    <w:rsid w:val="1DB875D1"/>
    <w:rsid w:val="1DC00253"/>
    <w:rsid w:val="1DC9518B"/>
    <w:rsid w:val="1E24010A"/>
    <w:rsid w:val="1E84409F"/>
    <w:rsid w:val="1FAF66F2"/>
    <w:rsid w:val="1FF658F5"/>
    <w:rsid w:val="20384A18"/>
    <w:rsid w:val="203C2FDE"/>
    <w:rsid w:val="21D270C2"/>
    <w:rsid w:val="23A411CC"/>
    <w:rsid w:val="23CA59F7"/>
    <w:rsid w:val="249B2541"/>
    <w:rsid w:val="24A26904"/>
    <w:rsid w:val="265C2AE3"/>
    <w:rsid w:val="26D77573"/>
    <w:rsid w:val="26EA27E4"/>
    <w:rsid w:val="281C4C20"/>
    <w:rsid w:val="293151D7"/>
    <w:rsid w:val="2A4406B1"/>
    <w:rsid w:val="2A5A1A2F"/>
    <w:rsid w:val="2B8313B8"/>
    <w:rsid w:val="2C962BB7"/>
    <w:rsid w:val="2E3A7A1E"/>
    <w:rsid w:val="2F511653"/>
    <w:rsid w:val="2F5B3B93"/>
    <w:rsid w:val="31AD4B3A"/>
    <w:rsid w:val="31E6002A"/>
    <w:rsid w:val="33100C76"/>
    <w:rsid w:val="34326C0F"/>
    <w:rsid w:val="346040E6"/>
    <w:rsid w:val="35956011"/>
    <w:rsid w:val="35A97D68"/>
    <w:rsid w:val="35FE7713"/>
    <w:rsid w:val="3623361D"/>
    <w:rsid w:val="37070849"/>
    <w:rsid w:val="37D050DF"/>
    <w:rsid w:val="3A1A46B5"/>
    <w:rsid w:val="3ACF536D"/>
    <w:rsid w:val="3B366B50"/>
    <w:rsid w:val="3B7530EA"/>
    <w:rsid w:val="3B7B70B8"/>
    <w:rsid w:val="3BB80364"/>
    <w:rsid w:val="3C340332"/>
    <w:rsid w:val="3C7626F9"/>
    <w:rsid w:val="3C860462"/>
    <w:rsid w:val="3CE07B72"/>
    <w:rsid w:val="3D597924"/>
    <w:rsid w:val="3D893C63"/>
    <w:rsid w:val="3E015FF2"/>
    <w:rsid w:val="3E4E1F25"/>
    <w:rsid w:val="3F9E2F24"/>
    <w:rsid w:val="3FAB02C1"/>
    <w:rsid w:val="40D37F31"/>
    <w:rsid w:val="41062069"/>
    <w:rsid w:val="41166258"/>
    <w:rsid w:val="42D44C4C"/>
    <w:rsid w:val="42ED57F2"/>
    <w:rsid w:val="43394480"/>
    <w:rsid w:val="43952009"/>
    <w:rsid w:val="43DE277C"/>
    <w:rsid w:val="4425638F"/>
    <w:rsid w:val="455B1CFA"/>
    <w:rsid w:val="459C6DF2"/>
    <w:rsid w:val="45A56843"/>
    <w:rsid w:val="461943C0"/>
    <w:rsid w:val="47102059"/>
    <w:rsid w:val="47A04ACD"/>
    <w:rsid w:val="4A501080"/>
    <w:rsid w:val="4AD10DBF"/>
    <w:rsid w:val="4B302753"/>
    <w:rsid w:val="4BAC44E5"/>
    <w:rsid w:val="4C0B44E0"/>
    <w:rsid w:val="4CD9636C"/>
    <w:rsid w:val="4CFB6302"/>
    <w:rsid w:val="4EE63D45"/>
    <w:rsid w:val="4EF206CC"/>
    <w:rsid w:val="4F247EF5"/>
    <w:rsid w:val="4F35780D"/>
    <w:rsid w:val="503E30D6"/>
    <w:rsid w:val="515801C7"/>
    <w:rsid w:val="5176689F"/>
    <w:rsid w:val="530E0FD7"/>
    <w:rsid w:val="538A03E0"/>
    <w:rsid w:val="55202DAA"/>
    <w:rsid w:val="553268F2"/>
    <w:rsid w:val="566E6661"/>
    <w:rsid w:val="567B233F"/>
    <w:rsid w:val="571903F8"/>
    <w:rsid w:val="597610C2"/>
    <w:rsid w:val="59C81C62"/>
    <w:rsid w:val="5B560EF9"/>
    <w:rsid w:val="5B995A73"/>
    <w:rsid w:val="5BAB20B1"/>
    <w:rsid w:val="5CEF22F8"/>
    <w:rsid w:val="5D780994"/>
    <w:rsid w:val="5E5822BC"/>
    <w:rsid w:val="5E9D7B9B"/>
    <w:rsid w:val="60031F56"/>
    <w:rsid w:val="60B74BC9"/>
    <w:rsid w:val="60BD3BA3"/>
    <w:rsid w:val="611F4533"/>
    <w:rsid w:val="62D11CEB"/>
    <w:rsid w:val="633532AB"/>
    <w:rsid w:val="637A3FCD"/>
    <w:rsid w:val="65E44D4C"/>
    <w:rsid w:val="664D3C1B"/>
    <w:rsid w:val="6679056C"/>
    <w:rsid w:val="66BA2A18"/>
    <w:rsid w:val="66CE443D"/>
    <w:rsid w:val="66E31E89"/>
    <w:rsid w:val="674B17EE"/>
    <w:rsid w:val="68A54E0C"/>
    <w:rsid w:val="699B2EEF"/>
    <w:rsid w:val="69C04496"/>
    <w:rsid w:val="6A3E3227"/>
    <w:rsid w:val="6A8C53AE"/>
    <w:rsid w:val="6B010BBD"/>
    <w:rsid w:val="6B014FD4"/>
    <w:rsid w:val="6CF2150C"/>
    <w:rsid w:val="6D39408A"/>
    <w:rsid w:val="6DA73C10"/>
    <w:rsid w:val="703D260A"/>
    <w:rsid w:val="70AB3A18"/>
    <w:rsid w:val="70B85AC2"/>
    <w:rsid w:val="712F6B34"/>
    <w:rsid w:val="72035AD5"/>
    <w:rsid w:val="729E521E"/>
    <w:rsid w:val="744E2B40"/>
    <w:rsid w:val="749649DF"/>
    <w:rsid w:val="74BB2697"/>
    <w:rsid w:val="760D2A7F"/>
    <w:rsid w:val="76A86EC9"/>
    <w:rsid w:val="776E6C5C"/>
    <w:rsid w:val="781E0F73"/>
    <w:rsid w:val="78496F10"/>
    <w:rsid w:val="796360D8"/>
    <w:rsid w:val="79D7762B"/>
    <w:rsid w:val="7BC76065"/>
    <w:rsid w:val="7C4915FB"/>
    <w:rsid w:val="7C7D3800"/>
    <w:rsid w:val="7C8415C1"/>
    <w:rsid w:val="7CAB7C01"/>
    <w:rsid w:val="7D8C369A"/>
    <w:rsid w:val="7DD10836"/>
    <w:rsid w:val="7DDB7D98"/>
    <w:rsid w:val="7DDF3534"/>
    <w:rsid w:val="7EDB38A1"/>
    <w:rsid w:val="7F0B7D77"/>
    <w:rsid w:val="7F752917"/>
    <w:rsid w:val="7FDF5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Autospacing="0" w:after="330" w:afterAutospacing="0" w:line="576" w:lineRule="auto"/>
      <w:jc w:val="center"/>
      <w:outlineLvl w:val="0"/>
    </w:pPr>
    <w:rPr>
      <w:b/>
      <w:kern w:val="44"/>
      <w:sz w:val="30"/>
    </w:rPr>
  </w:style>
  <w:style w:type="paragraph" w:styleId="4">
    <w:name w:val="heading 2"/>
    <w:basedOn w:val="3"/>
    <w:next w:val="1"/>
    <w:unhideWhenUsed/>
    <w:qFormat/>
    <w:uiPriority w:val="0"/>
    <w:pPr>
      <w:keepNext/>
      <w:keepLines/>
      <w:spacing w:before="260" w:beforeAutospacing="0" w:after="260" w:afterAutospacing="0" w:line="413" w:lineRule="auto"/>
      <w:jc w:val="center"/>
      <w:outlineLvl w:val="1"/>
    </w:pPr>
    <w:rPr>
      <w:rFonts w:ascii="Arial" w:hAnsi="Arial" w:eastAsia="宋体"/>
      <w:b w:val="0"/>
      <w:sz w:val="30"/>
    </w:rPr>
  </w:style>
  <w:style w:type="paragraph" w:styleId="5">
    <w:name w:val="heading 3"/>
    <w:basedOn w:val="4"/>
    <w:next w:val="1"/>
    <w:qFormat/>
    <w:uiPriority w:val="0"/>
    <w:pPr>
      <w:keepNext/>
      <w:keepLines/>
      <w:spacing w:before="260" w:beforeAutospacing="0" w:after="260" w:afterAutospacing="0" w:line="413" w:lineRule="auto"/>
      <w:outlineLvl w:val="2"/>
    </w:pPr>
    <w:rPr>
      <w:rFonts w:ascii="Times New Roman" w:hAnsi="Times New Roman" w:eastAsia="宋体" w:cs="Times New Roman"/>
      <w:b/>
      <w:sz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8">
    <w:name w:val="Default Paragraph Font"/>
    <w:qFormat/>
    <w:uiPriority w:val="0"/>
    <w:rPr>
      <w:rFonts w:ascii="Times New Roman" w:hAnsi="Times New Roman" w:eastAsia="宋体" w:cs="Times New Roman"/>
    </w:rPr>
  </w:style>
  <w:style w:type="table" w:default="1" w:styleId="2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 w:val="24"/>
    </w:rPr>
  </w:style>
  <w:style w:type="paragraph" w:styleId="7">
    <w:name w:val="Normal Indent"/>
    <w:basedOn w:val="1"/>
    <w:next w:val="8"/>
    <w:qFormat/>
    <w:uiPriority w:val="0"/>
    <w:pPr>
      <w:ind w:firstLine="420"/>
    </w:pPr>
    <w:rPr>
      <w:rFonts w:ascii="Times New Roman" w:hAnsi="Times New Roman" w:eastAsia="宋体" w:cs="Times New Roman"/>
    </w:rPr>
  </w:style>
  <w:style w:type="paragraph" w:customStyle="1" w:styleId="8">
    <w:name w:val="样式 标题 3 + (中文) 黑体 小四 非加粗 段前: 7.8 磅 段后: 0 磅 行距: 固定值 20 磅"/>
    <w:basedOn w:val="5"/>
    <w:qFormat/>
    <w:uiPriority w:val="99"/>
    <w:pPr>
      <w:tabs>
        <w:tab w:val="left" w:pos="425"/>
      </w:tabs>
      <w:spacing w:before="0" w:after="0" w:line="400" w:lineRule="exact"/>
    </w:pPr>
    <w:rPr>
      <w:rFonts w:ascii="Times New Roman" w:hAnsi="Times New Roman" w:eastAsia="黑体" w:cs="宋体"/>
      <w:b w:val="0"/>
      <w:kern w:val="2"/>
      <w:sz w:val="24"/>
      <w:szCs w:val="20"/>
    </w:rPr>
  </w:style>
  <w:style w:type="paragraph" w:styleId="9">
    <w:name w:val="annotation text"/>
    <w:basedOn w:val="1"/>
    <w:link w:val="33"/>
    <w:qFormat/>
    <w:uiPriority w:val="0"/>
    <w:pPr>
      <w:jc w:val="left"/>
    </w:pPr>
    <w:rPr>
      <w:rFonts w:ascii="Times New Roman" w:hAnsi="Times New Roman" w:eastAsia="宋体" w:cs="Times New Roman"/>
    </w:rPr>
  </w:style>
  <w:style w:type="paragraph" w:styleId="10">
    <w:name w:val="Body Text Indent"/>
    <w:basedOn w:val="1"/>
    <w:next w:val="11"/>
    <w:qFormat/>
    <w:uiPriority w:val="0"/>
    <w:pPr>
      <w:spacing w:after="120"/>
      <w:ind w:left="420" w:leftChars="200"/>
    </w:pPr>
    <w:rPr>
      <w:rFonts w:ascii="Times New Roman" w:hAnsi="Times New Roman" w:eastAsia="宋体" w:cs="Times New Roman"/>
    </w:rPr>
  </w:style>
  <w:style w:type="paragraph" w:styleId="11">
    <w:name w:val="envelope return"/>
    <w:basedOn w:val="1"/>
    <w:qFormat/>
    <w:uiPriority w:val="0"/>
    <w:pPr>
      <w:snapToGrid w:val="0"/>
    </w:pPr>
    <w:rPr>
      <w:rFonts w:ascii="Arial" w:hAnsi="Arial" w:cs="Arial"/>
    </w:rPr>
  </w:style>
  <w:style w:type="paragraph" w:styleId="12">
    <w:name w:val="Block Text"/>
    <w:basedOn w:val="1"/>
    <w:qFormat/>
    <w:uiPriority w:val="0"/>
    <w:pPr>
      <w:spacing w:after="120"/>
      <w:ind w:left="1440" w:right="144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eastAsia="宋体" w:cs="Courier New"/>
      <w:szCs w:val="21"/>
    </w:rPr>
  </w:style>
  <w:style w:type="paragraph" w:styleId="15">
    <w:name w:val="Date"/>
    <w:basedOn w:val="1"/>
    <w:next w:val="1"/>
    <w:link w:val="34"/>
    <w:qFormat/>
    <w:uiPriority w:val="0"/>
    <w:pPr>
      <w:ind w:left="100" w:leftChars="2500"/>
    </w:pPr>
    <w:rPr>
      <w:rFonts w:ascii="Times New Roman" w:hAnsi="Times New Roman" w:eastAsia="宋体" w:cs="Times New Roman"/>
    </w:rPr>
  </w:style>
  <w:style w:type="paragraph" w:styleId="16">
    <w:name w:val="Balloon Text"/>
    <w:basedOn w:val="1"/>
    <w:link w:val="35"/>
    <w:qFormat/>
    <w:uiPriority w:val="0"/>
    <w:rPr>
      <w:rFonts w:ascii="Times New Roman" w:hAnsi="Times New Roman" w:eastAsia="宋体" w:cs="Times New Roman"/>
      <w:sz w:val="18"/>
      <w:szCs w:val="18"/>
    </w:rPr>
  </w:style>
  <w:style w:type="paragraph" w:styleId="17">
    <w:name w:val="footer"/>
    <w:basedOn w:val="1"/>
    <w:qFormat/>
    <w:uiPriority w:val="0"/>
    <w:pPr>
      <w:tabs>
        <w:tab w:val="center" w:pos="4153"/>
        <w:tab w:val="right" w:pos="8306"/>
      </w:tabs>
      <w:snapToGrid w:val="0"/>
      <w:jc w:val="left"/>
      <w:textAlignment w:val="baseline"/>
    </w:pPr>
    <w:rPr>
      <w:rFonts w:ascii="Times New Roman" w:hAnsi="Times New Roman"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6"/>
      </w:tabs>
      <w:snapToGrid w:val="0"/>
      <w:jc w:val="center"/>
      <w:textAlignment w:val="baseline"/>
    </w:pPr>
    <w:rPr>
      <w:rFonts w:ascii="Times New Roman" w:hAnsi="Times New Roman" w:eastAsia="宋体" w:cs="Times New Roman"/>
      <w:kern w:val="2"/>
      <w:sz w:val="18"/>
      <w:szCs w:val="18"/>
      <w:lang w:val="en-US" w:eastAsia="zh-CN" w:bidi="ar-SA"/>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kern w:val="28"/>
      <w:sz w:val="32"/>
      <w:szCs w:val="32"/>
    </w:rPr>
  </w:style>
  <w:style w:type="paragraph" w:styleId="24">
    <w:name w:val="annotation subject"/>
    <w:basedOn w:val="9"/>
    <w:next w:val="9"/>
    <w:link w:val="36"/>
    <w:qFormat/>
    <w:uiPriority w:val="0"/>
    <w:rPr>
      <w:rFonts w:ascii="Times New Roman" w:hAnsi="Times New Roman" w:eastAsia="宋体" w:cs="Times New Roman"/>
      <w:b/>
      <w:bCs/>
    </w:rPr>
  </w:style>
  <w:style w:type="paragraph" w:styleId="25">
    <w:name w:val="Body Text First Indent 2"/>
    <w:basedOn w:val="10"/>
    <w:next w:val="1"/>
    <w:qFormat/>
    <w:uiPriority w:val="0"/>
    <w:pPr>
      <w:tabs>
        <w:tab w:val="left" w:pos="4606"/>
      </w:tabs>
      <w:spacing w:after="0" w:line="600" w:lineRule="exact"/>
      <w:ind w:left="0" w:leftChars="0" w:firstLine="420"/>
    </w:pPr>
    <w:rPr>
      <w:rFonts w:ascii="仿宋_GB2312" w:hAnsi="Times New Roman" w:eastAsia="仿宋_GB2312" w:cs="Times New Roman"/>
      <w:sz w:val="28"/>
      <w:szCs w:val="28"/>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imes New Roman" w:hAnsi="Times New Roman" w:eastAsia="宋体" w:cs="Times New Roman"/>
      <w:b/>
      <w:bCs/>
    </w:rPr>
  </w:style>
  <w:style w:type="character" w:styleId="30">
    <w:name w:val="Emphasis"/>
    <w:basedOn w:val="28"/>
    <w:qFormat/>
    <w:uiPriority w:val="0"/>
    <w:rPr>
      <w:i/>
    </w:rPr>
  </w:style>
  <w:style w:type="character" w:styleId="31">
    <w:name w:val="Hyperlink"/>
    <w:qFormat/>
    <w:uiPriority w:val="0"/>
    <w:rPr>
      <w:rFonts w:ascii="Tahoma" w:hAnsi="Tahoma" w:eastAsia="宋体" w:cs="Times New Roman"/>
      <w:color w:val="0000FF"/>
      <w:sz w:val="24"/>
      <w:u w:val="single"/>
    </w:rPr>
  </w:style>
  <w:style w:type="character" w:styleId="32">
    <w:name w:val="annotation reference"/>
    <w:qFormat/>
    <w:uiPriority w:val="0"/>
    <w:rPr>
      <w:rFonts w:ascii="Times New Roman" w:hAnsi="Times New Roman" w:eastAsia="宋体" w:cs="Times New Roman"/>
      <w:sz w:val="21"/>
      <w:szCs w:val="21"/>
    </w:rPr>
  </w:style>
  <w:style w:type="character" w:customStyle="1" w:styleId="33">
    <w:name w:val="批注文字 字符"/>
    <w:link w:val="9"/>
    <w:qFormat/>
    <w:uiPriority w:val="0"/>
    <w:rPr>
      <w:rFonts w:ascii="Times New Roman" w:hAnsi="Times New Roman" w:eastAsia="宋体" w:cs="Times New Roman"/>
      <w:kern w:val="2"/>
      <w:sz w:val="21"/>
    </w:rPr>
  </w:style>
  <w:style w:type="character" w:customStyle="1" w:styleId="34">
    <w:name w:val="日期 字符"/>
    <w:link w:val="15"/>
    <w:qFormat/>
    <w:uiPriority w:val="0"/>
    <w:rPr>
      <w:rFonts w:ascii="Times New Roman" w:hAnsi="Times New Roman" w:eastAsia="宋体" w:cs="Times New Roman"/>
      <w:kern w:val="2"/>
      <w:sz w:val="21"/>
    </w:rPr>
  </w:style>
  <w:style w:type="character" w:customStyle="1" w:styleId="35">
    <w:name w:val="批注框文本 字符"/>
    <w:link w:val="16"/>
    <w:qFormat/>
    <w:uiPriority w:val="0"/>
    <w:rPr>
      <w:rFonts w:ascii="Times New Roman" w:hAnsi="Times New Roman" w:eastAsia="宋体" w:cs="Times New Roman"/>
      <w:kern w:val="2"/>
      <w:sz w:val="18"/>
      <w:szCs w:val="18"/>
    </w:rPr>
  </w:style>
  <w:style w:type="character" w:customStyle="1" w:styleId="36">
    <w:name w:val="批注主题 字符"/>
    <w:link w:val="24"/>
    <w:qFormat/>
    <w:uiPriority w:val="0"/>
    <w:rPr>
      <w:rFonts w:ascii="Times New Roman" w:hAnsi="Times New Roman" w:eastAsia="宋体" w:cs="Times New Roman"/>
      <w:b/>
      <w:bCs/>
      <w:kern w:val="2"/>
      <w:sz w:val="21"/>
    </w:rPr>
  </w:style>
  <w:style w:type="character" w:customStyle="1" w:styleId="37">
    <w:name w:val="font112"/>
    <w:basedOn w:val="28"/>
    <w:qFormat/>
    <w:uiPriority w:val="0"/>
    <w:rPr>
      <w:rFonts w:hint="eastAsia" w:ascii="宋体" w:hAnsi="宋体" w:eastAsia="宋体" w:cs="宋体"/>
      <w:color w:val="000000"/>
      <w:sz w:val="20"/>
      <w:szCs w:val="20"/>
      <w:u w:val="none"/>
      <w:vertAlign w:val="superscript"/>
    </w:rPr>
  </w:style>
  <w:style w:type="character" w:customStyle="1" w:styleId="38">
    <w:name w:val="font121"/>
    <w:basedOn w:val="28"/>
    <w:qFormat/>
    <w:uiPriority w:val="0"/>
    <w:rPr>
      <w:rFonts w:hint="eastAsia" w:ascii="宋体" w:hAnsi="宋体" w:eastAsia="宋体" w:cs="宋体"/>
      <w:color w:val="000000"/>
      <w:sz w:val="15"/>
      <w:szCs w:val="15"/>
      <w:u w:val="none"/>
    </w:rPr>
  </w:style>
  <w:style w:type="character" w:customStyle="1" w:styleId="39">
    <w:name w:val="font91"/>
    <w:basedOn w:val="28"/>
    <w:qFormat/>
    <w:uiPriority w:val="0"/>
    <w:rPr>
      <w:rFonts w:hint="eastAsia" w:ascii="宋体" w:hAnsi="宋体" w:eastAsia="宋体" w:cs="宋体"/>
      <w:color w:val="000000"/>
      <w:sz w:val="21"/>
      <w:szCs w:val="21"/>
      <w:u w:val="none"/>
    </w:rPr>
  </w:style>
  <w:style w:type="character" w:customStyle="1" w:styleId="40">
    <w:name w:val="font21"/>
    <w:basedOn w:val="28"/>
    <w:qFormat/>
    <w:uiPriority w:val="0"/>
    <w:rPr>
      <w:rFonts w:hint="eastAsia" w:ascii="宋体" w:hAnsi="宋体" w:eastAsia="宋体" w:cs="宋体"/>
      <w:color w:val="000000"/>
      <w:sz w:val="20"/>
      <w:szCs w:val="20"/>
      <w:u w:val="none"/>
    </w:rPr>
  </w:style>
  <w:style w:type="character" w:customStyle="1" w:styleId="41">
    <w:name w:val="Body text|2"/>
    <w:basedOn w:val="42"/>
    <w:unhideWhenUsed/>
    <w:qFormat/>
    <w:uiPriority w:val="0"/>
    <w:rPr>
      <w:color w:val="000000"/>
      <w:spacing w:val="0"/>
      <w:w w:val="100"/>
      <w:position w:val="0"/>
      <w:u w:val="single"/>
      <w:lang w:val="zh-CN" w:eastAsia="zh-CN" w:bidi="zh-CN"/>
    </w:rPr>
  </w:style>
  <w:style w:type="character" w:customStyle="1" w:styleId="42">
    <w:name w:val="Body text|2_"/>
    <w:link w:val="43"/>
    <w:qFormat/>
    <w:uiPriority w:val="0"/>
    <w:rPr>
      <w:rFonts w:ascii="PMingLiU" w:hAnsi="PMingLiU" w:eastAsia="PMingLiU"/>
      <w:color w:val="auto"/>
      <w:sz w:val="42"/>
      <w:szCs w:val="42"/>
    </w:rPr>
  </w:style>
  <w:style w:type="paragraph" w:customStyle="1" w:styleId="43">
    <w:name w:val="Body text|22"/>
    <w:basedOn w:val="1"/>
    <w:link w:val="42"/>
    <w:qFormat/>
    <w:uiPriority w:val="0"/>
    <w:pPr>
      <w:widowControl w:val="0"/>
      <w:shd w:val="clear" w:color="auto" w:fill="FFFFFF"/>
      <w:spacing w:before="360" w:line="735" w:lineRule="exact"/>
    </w:pPr>
    <w:rPr>
      <w:rFonts w:ascii="PMingLiU" w:hAnsi="PMingLiU" w:eastAsia="PMingLiU"/>
      <w:color w:val="auto"/>
      <w:sz w:val="42"/>
      <w:szCs w:val="42"/>
    </w:rPr>
  </w:style>
  <w:style w:type="character" w:customStyle="1" w:styleId="44">
    <w:name w:val="NormalCharacter"/>
    <w:qFormat/>
    <w:uiPriority w:val="0"/>
    <w:rPr>
      <w:rFonts w:ascii="Times New Roman" w:hAnsi="Times New Roman" w:eastAsia="宋体" w:cs="Times New Roman"/>
    </w:rPr>
  </w:style>
  <w:style w:type="character" w:customStyle="1" w:styleId="45">
    <w:name w:val="font01"/>
    <w:basedOn w:val="28"/>
    <w:qFormat/>
    <w:uiPriority w:val="0"/>
    <w:rPr>
      <w:rFonts w:hint="eastAsia" w:ascii="宋体" w:hAnsi="宋体" w:eastAsia="宋体" w:cs="宋体"/>
      <w:color w:val="000000"/>
      <w:sz w:val="20"/>
      <w:szCs w:val="20"/>
      <w:u w:val="none"/>
    </w:rPr>
  </w:style>
  <w:style w:type="character" w:customStyle="1" w:styleId="46">
    <w:name w:val="PageNumber"/>
    <w:qFormat/>
    <w:uiPriority w:val="0"/>
    <w:rPr>
      <w:rFonts w:ascii="Tahoma" w:hAnsi="Tahoma" w:eastAsia="宋体" w:cs="Times New Roman"/>
      <w:sz w:val="24"/>
    </w:rPr>
  </w:style>
  <w:style w:type="character" w:customStyle="1" w:styleId="47">
    <w:name w:val="font11"/>
    <w:basedOn w:val="28"/>
    <w:qFormat/>
    <w:uiPriority w:val="0"/>
    <w:rPr>
      <w:rFonts w:hint="eastAsia" w:ascii="宋体" w:hAnsi="宋体" w:eastAsia="宋体" w:cs="宋体"/>
      <w:color w:val="000000"/>
      <w:sz w:val="20"/>
      <w:szCs w:val="20"/>
      <w:u w:val="none"/>
    </w:rPr>
  </w:style>
  <w:style w:type="character" w:customStyle="1" w:styleId="48">
    <w:name w:val="font81"/>
    <w:basedOn w:val="28"/>
    <w:qFormat/>
    <w:uiPriority w:val="0"/>
    <w:rPr>
      <w:rFonts w:hint="eastAsia" w:ascii="宋体" w:hAnsi="宋体" w:eastAsia="宋体" w:cs="宋体"/>
      <w:color w:val="000000"/>
      <w:sz w:val="15"/>
      <w:szCs w:val="15"/>
      <w:u w:val="none"/>
    </w:rPr>
  </w:style>
  <w:style w:type="character" w:customStyle="1" w:styleId="49">
    <w:name w:val="font131"/>
    <w:basedOn w:val="28"/>
    <w:qFormat/>
    <w:uiPriority w:val="0"/>
    <w:rPr>
      <w:rFonts w:hint="eastAsia" w:ascii="宋体" w:hAnsi="宋体" w:eastAsia="宋体" w:cs="宋体"/>
      <w:color w:val="000000"/>
      <w:sz w:val="21"/>
      <w:szCs w:val="21"/>
      <w:u w:val="none"/>
    </w:rPr>
  </w:style>
  <w:style w:type="character" w:customStyle="1" w:styleId="50">
    <w:name w:val="font41"/>
    <w:basedOn w:val="28"/>
    <w:qFormat/>
    <w:uiPriority w:val="0"/>
    <w:rPr>
      <w:rFonts w:hint="eastAsia" w:ascii="宋体" w:hAnsi="宋体" w:eastAsia="宋体" w:cs="宋体"/>
      <w:color w:val="000000"/>
      <w:sz w:val="22"/>
      <w:szCs w:val="22"/>
      <w:u w:val="none"/>
    </w:rPr>
  </w:style>
  <w:style w:type="character" w:customStyle="1" w:styleId="51">
    <w:name w:val="font71"/>
    <w:basedOn w:val="28"/>
    <w:qFormat/>
    <w:uiPriority w:val="0"/>
    <w:rPr>
      <w:rFonts w:hint="eastAsia" w:ascii="宋体" w:hAnsi="宋体" w:eastAsia="宋体" w:cs="宋体"/>
      <w:color w:val="000000"/>
      <w:sz w:val="18"/>
      <w:szCs w:val="18"/>
      <w:u w:val="none"/>
      <w:vertAlign w:val="superscript"/>
    </w:rPr>
  </w:style>
  <w:style w:type="character" w:customStyle="1" w:styleId="52">
    <w:name w:val="font31"/>
    <w:basedOn w:val="28"/>
    <w:qFormat/>
    <w:uiPriority w:val="0"/>
    <w:rPr>
      <w:rFonts w:hint="eastAsia" w:ascii="宋体" w:hAnsi="宋体" w:eastAsia="宋体" w:cs="宋体"/>
      <w:color w:val="000000"/>
      <w:sz w:val="22"/>
      <w:szCs w:val="22"/>
      <w:u w:val="none"/>
    </w:rPr>
  </w:style>
  <w:style w:type="paragraph" w:customStyle="1" w:styleId="53">
    <w:name w:val="null3"/>
    <w:qFormat/>
    <w:uiPriority w:val="0"/>
    <w:rPr>
      <w:rFonts w:hint="eastAsia" w:ascii="Calibri" w:hAnsi="Calibri" w:eastAsia="宋体" w:cs="Times New Roman"/>
      <w:lang w:val="en-US" w:eastAsia="zh-Hans"/>
    </w:rPr>
  </w:style>
  <w:style w:type="paragraph" w:customStyle="1" w:styleId="54">
    <w:name w:val="Default"/>
    <w:basedOn w:val="55"/>
    <w:next w:val="1"/>
    <w:qFormat/>
    <w:uiPriority w:val="0"/>
    <w:pPr>
      <w:widowControl w:val="0"/>
      <w:autoSpaceDE w:val="0"/>
      <w:autoSpaceDN w:val="0"/>
      <w:adjustRightInd w:val="0"/>
    </w:pPr>
    <w:rPr>
      <w:rFonts w:ascii="宋体" w:hAnsi="黑体" w:eastAsia="宋体" w:cs="Times New Roman"/>
      <w:color w:val="000000"/>
      <w:sz w:val="24"/>
      <w:lang w:val="en-US" w:eastAsia="zh-CN" w:bidi="ar-SA"/>
    </w:rPr>
  </w:style>
  <w:style w:type="paragraph" w:customStyle="1" w:styleId="55">
    <w:name w:val="正文1"/>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56">
    <w:name w:val="UserStyle_1"/>
    <w:basedOn w:val="1"/>
    <w:qFormat/>
    <w:uiPriority w:val="0"/>
    <w:pPr>
      <w:widowControl/>
      <w:jc w:val="both"/>
      <w:textAlignment w:val="baseline"/>
    </w:pPr>
    <w:rPr>
      <w:rFonts w:ascii="Tahoma" w:hAnsi="Tahoma" w:eastAsia="宋体" w:cs="Times New Roman"/>
      <w:kern w:val="2"/>
      <w:sz w:val="21"/>
      <w:szCs w:val="21"/>
      <w:lang w:val="en-US" w:eastAsia="zh-CN" w:bidi="ar-SA"/>
    </w:rPr>
  </w:style>
  <w:style w:type="paragraph" w:customStyle="1" w:styleId="57">
    <w:name w:val="UserStyle_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58">
    <w:name w:val="Char1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styleId="59">
    <w:name w:val="List Paragraph"/>
    <w:basedOn w:val="1"/>
    <w:qFormat/>
    <w:uiPriority w:val="0"/>
    <w:pPr>
      <w:ind w:firstLine="420" w:firstLineChars="200"/>
    </w:pPr>
    <w:rPr>
      <w:rFonts w:ascii="Times New Roman" w:hAnsi="Times New Roman" w:eastAsia="宋体" w:cs="Times New Roman"/>
    </w:rPr>
  </w:style>
  <w:style w:type="paragraph" w:customStyle="1" w:styleId="60">
    <w:name w:val="BodyTextIndent2"/>
    <w:basedOn w:val="1"/>
    <w:qFormat/>
    <w:uiPriority w:val="0"/>
    <w:pPr>
      <w:spacing w:line="500" w:lineRule="atLeast"/>
      <w:ind w:firstLine="420" w:firstLineChars="175"/>
      <w:jc w:val="both"/>
      <w:textAlignment w:val="baseline"/>
    </w:pPr>
    <w:rPr>
      <w:rFonts w:ascii="新宋体" w:hAnsi="新宋体" w:eastAsia="新宋体" w:cs="Times New Roman"/>
      <w:kern w:val="2"/>
      <w:sz w:val="24"/>
      <w:lang w:val="en-US" w:eastAsia="zh-CN" w:bidi="ar-SA"/>
    </w:rPr>
  </w:style>
  <w:style w:type="paragraph" w:customStyle="1" w:styleId="61">
    <w:name w:val="MessageHeader"/>
    <w:basedOn w:val="1"/>
    <w:qFormat/>
    <w:uiPriority w:val="0"/>
    <w:pPr>
      <w:pBdr>
        <w:top w:val="single" w:color="auto" w:sz="6" w:space="1"/>
        <w:left w:val="single" w:color="auto" w:sz="6" w:space="1"/>
        <w:bottom w:val="single" w:color="auto" w:sz="6" w:space="1"/>
        <w:right w:val="single" w:color="auto" w:sz="6" w:space="1"/>
      </w:pBdr>
      <w:ind w:left="1080" w:leftChars="500" w:hanging="1080" w:hangingChars="500"/>
      <w:jc w:val="both"/>
      <w:textAlignment w:val="baseline"/>
    </w:pPr>
    <w:rPr>
      <w:rFonts w:ascii="Cambria" w:hAnsi="Cambria" w:eastAsia="宋体" w:cs="Times New Roman"/>
      <w:kern w:val="2"/>
      <w:sz w:val="24"/>
      <w:lang w:val="en-US" w:eastAsia="zh-CN" w:bidi="ar-SA"/>
    </w:rPr>
  </w:style>
  <w:style w:type="paragraph" w:customStyle="1" w:styleId="62">
    <w:name w:val="标准"/>
    <w:basedOn w:val="1"/>
    <w:qFormat/>
    <w:uiPriority w:val="0"/>
    <w:pPr>
      <w:spacing w:line="360" w:lineRule="auto"/>
      <w:ind w:firstLine="200" w:firstLineChars="200"/>
    </w:pPr>
    <w:rPr>
      <w:rFonts w:ascii="Times New Roman" w:hAnsi="Times New Roman" w:eastAsia="宋体" w:cs="宋体"/>
      <w:szCs w:val="20"/>
    </w:rPr>
  </w:style>
  <w:style w:type="paragraph" w:customStyle="1" w:styleId="63">
    <w:name w:val="PlainText"/>
    <w:basedOn w:val="1"/>
    <w:qFormat/>
    <w:uiPriority w:val="0"/>
    <w:pPr>
      <w:jc w:val="both"/>
      <w:textAlignment w:val="baseline"/>
    </w:pPr>
    <w:rPr>
      <w:rFonts w:ascii="宋体" w:hAnsi="Courier New" w:eastAsia="宋体" w:cs="Times New Roman"/>
      <w:kern w:val="2"/>
      <w:sz w:val="21"/>
      <w:szCs w:val="22"/>
      <w:lang w:val="en-US" w:eastAsia="zh-CN" w:bidi="ar-SA"/>
    </w:rPr>
  </w:style>
  <w:style w:type="paragraph" w:customStyle="1" w:styleId="64">
    <w:name w:val="TOC2"/>
    <w:basedOn w:val="1"/>
    <w:next w:val="1"/>
    <w:qFormat/>
    <w:uiPriority w:val="0"/>
    <w:pPr>
      <w:tabs>
        <w:tab w:val="right" w:leader="dot" w:pos="9503"/>
      </w:tabs>
      <w:ind w:left="210"/>
      <w:jc w:val="left"/>
      <w:textAlignment w:val="baseline"/>
    </w:pPr>
    <w:rPr>
      <w:rFonts w:ascii="新宋体" w:hAnsi="新宋体" w:eastAsia="新宋体" w:cs="Times New Roman"/>
      <w:b/>
      <w:smallCaps/>
      <w:kern w:val="2"/>
      <w:sz w:val="28"/>
      <w:szCs w:val="28"/>
      <w:lang w:val="en-US" w:eastAsia="zh-CN" w:bidi="ar-SA"/>
    </w:rPr>
  </w:style>
  <w:style w:type="paragraph" w:customStyle="1" w:styleId="65">
    <w:name w:val="BodyTextIndent"/>
    <w:basedOn w:val="1"/>
    <w:qFormat/>
    <w:uiPriority w:val="0"/>
    <w:pPr>
      <w:spacing w:line="500" w:lineRule="atLeast"/>
      <w:ind w:firstLine="600" w:firstLineChars="200"/>
      <w:jc w:val="both"/>
      <w:textAlignment w:val="baseline"/>
    </w:pPr>
    <w:rPr>
      <w:rFonts w:ascii="仿宋_GB2312" w:hAnsi="宋体" w:eastAsia="仿宋_GB2312" w:cs="Times New Roman"/>
      <w:kern w:val="44"/>
      <w:sz w:val="30"/>
      <w:szCs w:val="24"/>
      <w:lang w:val="en-GB" w:eastAsia="zh-CN" w:bidi="ar-SA"/>
    </w:rPr>
  </w:style>
  <w:style w:type="paragraph" w:customStyle="1" w:styleId="66">
    <w:name w:val="HtmlNormal"/>
    <w:basedOn w:val="1"/>
    <w:qFormat/>
    <w:uiPriority w:val="0"/>
    <w:pPr>
      <w:widowControl/>
      <w:jc w:val="left"/>
      <w:textAlignment w:val="baseline"/>
    </w:pPr>
    <w:rPr>
      <w:rFonts w:ascii="宋体" w:hAnsi="宋体" w:eastAsia="宋体" w:cs="Times New Roman"/>
      <w:kern w:val="0"/>
      <w:sz w:val="24"/>
      <w:szCs w:val="24"/>
      <w:lang w:val="en-US" w:eastAsia="zh-CN" w:bidi="ar-SA"/>
    </w:rPr>
  </w:style>
  <w:style w:type="paragraph" w:customStyle="1" w:styleId="67">
    <w:name w:val="TOC1"/>
    <w:basedOn w:val="1"/>
    <w:next w:val="1"/>
    <w:qFormat/>
    <w:uiPriority w:val="0"/>
    <w:pPr>
      <w:tabs>
        <w:tab w:val="right" w:leader="dot" w:pos="9629"/>
      </w:tabs>
      <w:spacing w:before="120" w:after="120" w:line="360" w:lineRule="exact"/>
      <w:jc w:val="left"/>
      <w:textAlignment w:val="baseline"/>
    </w:pPr>
    <w:rPr>
      <w:rFonts w:ascii="新宋体" w:hAnsi="新宋体" w:eastAsia="新宋体" w:cs="Times New Roman"/>
      <w:bCs/>
      <w:caps/>
      <w:color w:val="008000"/>
      <w:kern w:val="2"/>
      <w:sz w:val="21"/>
      <w:szCs w:val="21"/>
      <w:lang w:val="en-US" w:eastAsia="zh-CN" w:bidi="ar-SA"/>
    </w:rPr>
  </w:style>
  <w:style w:type="paragraph" w:customStyle="1" w:styleId="68">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AnnotationText"/>
    <w:basedOn w:val="1"/>
    <w:qFormat/>
    <w:uiPriority w:val="0"/>
    <w:pPr>
      <w:jc w:val="left"/>
      <w:textAlignment w:val="baseline"/>
    </w:pPr>
    <w:rPr>
      <w:rFonts w:ascii="Times New Roman" w:hAnsi="Times New Roman" w:eastAsia="宋体" w:cs="Times New Roman"/>
    </w:rPr>
  </w:style>
  <w:style w:type="paragraph" w:customStyle="1" w:styleId="70">
    <w:name w:val="UserStyle_3"/>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71">
    <w:name w:val="NormalIndent"/>
    <w:basedOn w:val="1"/>
    <w:qFormat/>
    <w:uiPriority w:val="0"/>
    <w:pPr>
      <w:ind w:firstLine="420" w:firstLineChars="200"/>
      <w:jc w:val="both"/>
      <w:textAlignment w:val="baseline"/>
    </w:pPr>
    <w:rPr>
      <w:rFonts w:ascii="Tahoma" w:hAnsi="Tahoma" w:eastAsia="宋体" w:cs="Times New Roman"/>
      <w:kern w:val="2"/>
      <w:sz w:val="21"/>
      <w:szCs w:val="24"/>
      <w:lang w:val="en-US" w:eastAsia="zh-CN" w:bidi="ar-SA"/>
    </w:rPr>
  </w:style>
  <w:style w:type="paragraph" w:customStyle="1" w:styleId="72">
    <w:name w:val="UserStyle_0"/>
    <w:basedOn w:val="1"/>
    <w:qFormat/>
    <w:uiPriority w:val="0"/>
    <w:pPr>
      <w:spacing w:line="360" w:lineRule="auto"/>
      <w:ind w:firstLine="200" w:firstLineChars="200"/>
      <w:jc w:val="both"/>
      <w:textAlignment w:val="baseline"/>
    </w:pPr>
    <w:rPr>
      <w:rFonts w:ascii="Times New Roman" w:hAnsi="Times New Roman" w:eastAsia="宋体" w:cs="Times New Roman"/>
      <w:kern w:val="2"/>
      <w:sz w:val="21"/>
      <w:lang w:val="en-US" w:eastAsia="zh-CN" w:bidi="ar-SA"/>
    </w:rPr>
  </w:style>
  <w:style w:type="paragraph" w:customStyle="1" w:styleId="73">
    <w:name w:val="纯文本_5"/>
    <w:basedOn w:val="1"/>
    <w:qFormat/>
    <w:uiPriority w:val="0"/>
    <w:pPr>
      <w:widowControl w:val="0"/>
      <w:spacing w:line="240" w:lineRule="auto"/>
      <w:jc w:val="both"/>
    </w:pPr>
    <w:rPr>
      <w:rFonts w:ascii="宋体" w:hAnsi="Courier New" w:eastAsia="宋体" w:cs="Times New Roman"/>
      <w:szCs w:val="20"/>
    </w:rPr>
  </w:style>
  <w:style w:type="paragraph" w:customStyle="1" w:styleId="74">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75">
    <w:name w:val="样式3"/>
    <w:basedOn w:val="14"/>
    <w:qFormat/>
    <w:uiPriority w:val="0"/>
    <w:pPr>
      <w:spacing w:line="240" w:lineRule="atLeast"/>
      <w:outlineLvl w:val="0"/>
    </w:pPr>
    <w:rPr>
      <w:rFonts w:ascii="Times New Roman" w:hAnsi="Times New Roman" w:eastAsia="宋体" w:cs="Times New Roman"/>
      <w:sz w:val="28"/>
      <w:szCs w:val="20"/>
    </w:rPr>
  </w:style>
  <w:style w:type="paragraph" w:customStyle="1" w:styleId="76">
    <w:name w:val="UserStyle_4"/>
    <w:qFormat/>
    <w:uiPriority w:val="0"/>
    <w:pPr>
      <w:spacing w:line="360" w:lineRule="atLeast"/>
      <w:jc w:val="both"/>
      <w:textAlignment w:val="baseline"/>
    </w:pPr>
    <w:rPr>
      <w:rFonts w:ascii="Times New Roman" w:hAnsi="Times New Roman" w:eastAsia="Times New Roman" w:cs="Times New Roman"/>
      <w:color w:val="000000"/>
      <w:lang w:val="en-US" w:eastAsia="zh-CN" w:bidi="ar-SA"/>
    </w:rPr>
  </w:style>
  <w:style w:type="paragraph" w:customStyle="1" w:styleId="77">
    <w:name w:val="Table Paragraph"/>
    <w:basedOn w:val="1"/>
    <w:unhideWhenUsed/>
    <w:qFormat/>
    <w:uiPriority w:val="1"/>
    <w:rPr>
      <w:rFonts w:hint="eastAsia"/>
      <w:sz w:val="24"/>
    </w:rPr>
  </w:style>
  <w:style w:type="table" w:customStyle="1" w:styleId="78">
    <w:name w:val="TableNormal"/>
    <w:qFormat/>
    <w:uiPriority w:val="0"/>
    <w:rPr>
      <w:rFonts w:ascii="Times New Roman" w:hAnsi="Times New Roman" w:eastAsia="宋体" w:cs="Times New Roman"/>
      <w:lang w:val="en-US" w:eastAsia="zh-CN" w:bidi="ar-SA"/>
    </w:rPr>
  </w:style>
  <w:style w:type="table" w:customStyle="1" w:styleId="79">
    <w:name w:val="网格型1"/>
    <w:basedOn w:val="2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_Style 11"/>
    <w:basedOn w:val="10"/>
    <w:next w:val="25"/>
    <w:unhideWhenUsed/>
    <w:qFormat/>
    <w:uiPriority w:val="99"/>
    <w:pPr>
      <w:spacing w:line="240" w:lineRule="auto"/>
      <w:ind w:firstLine="420"/>
    </w:pPr>
    <w:rPr>
      <w:rFonts w:hAnsi="Times New Roman"/>
      <w:szCs w:val="21"/>
    </w:rPr>
  </w:style>
  <w:style w:type="paragraph" w:customStyle="1" w:styleId="81">
    <w:name w:val="my正文"/>
    <w:basedOn w:val="1"/>
    <w:qFormat/>
    <w:uiPriority w:val="0"/>
    <w:pPr>
      <w:ind w:firstLine="480"/>
    </w:pPr>
  </w:style>
  <w:style w:type="paragraph" w:customStyle="1" w:styleId="82">
    <w:name w:val="AA正文"/>
    <w:basedOn w:val="1"/>
    <w:qFormat/>
    <w:uiPriority w:val="0"/>
    <w:pPr>
      <w:spacing w:before="120" w:after="120"/>
      <w:contextualSpacing/>
    </w:pPr>
    <w:rPr>
      <w:rFonts w:ascii="Calibri" w:hAnsi="Calibri"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5078</Words>
  <Characters>5565</Characters>
  <Lines>258</Lines>
  <Paragraphs>72</Paragraphs>
  <TotalTime>2</TotalTime>
  <ScaleCrop>false</ScaleCrop>
  <LinksUpToDate>false</LinksUpToDate>
  <CharactersWithSpaces>5919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2021-12-01T12:41:00Z</dcterms:created>
  <dc:creator>Administrator</dc:creator>
  <cp:lastModifiedBy>肖</cp:lastModifiedBy>
  <cp:lastPrinted>2024-06-19T09:15:00Z</cp:lastPrinted>
  <dcterms:modified xsi:type="dcterms:W3CDTF">2025-08-27T07:54:50Z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C808B82CE6BA49D788F5FE37B3AB7ABE_13</vt:lpwstr>
  </property>
  <property fmtid="{D5CDD505-2E9C-101B-9397-08002B2CF9AE}" pid="4" name="KSOTemplateDocerSaveRecord">
    <vt:lpwstr>eyJoZGlkIjoiZGMxM2UzNDlhYzczZTY3YWM3ODBjYTI3ZDcyZTdmMDkiLCJ1c2VySWQiOiI1NDUyOTMyMDgifQ==</vt:lpwstr>
  </property>
</Properties>
</file>